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2" w:rsidRDefault="00A42502" w:rsidP="00E44EF0">
      <w:pPr>
        <w:tabs>
          <w:tab w:val="left" w:pos="5670"/>
        </w:tabs>
        <w:spacing w:before="0"/>
        <w:jc w:val="left"/>
      </w:pPr>
      <w:bookmarkStart w:id="0" w:name="_GoBack"/>
      <w:bookmarkEnd w:id="0"/>
      <w:r>
        <w:rPr>
          <w:b/>
          <w:sz w:val="16"/>
        </w:rPr>
        <w:tab/>
      </w:r>
      <w:r w:rsidR="00B8373E">
        <w:rPr>
          <w:b/>
          <w:sz w:val="16"/>
        </w:rPr>
        <w:tab/>
      </w:r>
      <w:r w:rsidR="007D33FB">
        <w:t xml:space="preserve">Paris, le </w:t>
      </w:r>
      <w:r w:rsidR="00342DBB">
        <w:t xml:space="preserve">6 décembre </w:t>
      </w:r>
      <w:r w:rsidR="006715EB">
        <w:t>201</w:t>
      </w:r>
      <w:r w:rsidR="00342DBB">
        <w:t>6</w:t>
      </w:r>
      <w:r>
        <w:t xml:space="preserve"> </w:t>
      </w:r>
    </w:p>
    <w:p w:rsidR="00001A87" w:rsidRDefault="003C2796" w:rsidP="00EF5926">
      <w:pPr>
        <w:spacing w:before="0" w:after="0"/>
        <w:jc w:val="left"/>
        <w:rPr>
          <w:sz w:val="18"/>
        </w:rPr>
      </w:pPr>
      <w:r>
        <w:rPr>
          <w:sz w:val="18"/>
        </w:rPr>
        <w:t> </w:t>
      </w:r>
    </w:p>
    <w:p w:rsidR="00B8373E" w:rsidRDefault="00B8373E" w:rsidP="00EF5926">
      <w:pPr>
        <w:spacing w:before="0" w:after="0"/>
        <w:jc w:val="left"/>
        <w:rPr>
          <w:sz w:val="18"/>
        </w:rPr>
      </w:pPr>
    </w:p>
    <w:p w:rsidR="00EF5778" w:rsidRDefault="00EF5778" w:rsidP="00E146E3">
      <w:pPr>
        <w:pStyle w:val="Titre4"/>
        <w:spacing w:before="0" w:after="0"/>
        <w:ind w:left="0" w:firstLine="0"/>
      </w:pPr>
    </w:p>
    <w:p w:rsidR="00A42502" w:rsidRDefault="009C194D" w:rsidP="0094329A">
      <w:pPr>
        <w:spacing w:before="600" w:after="360"/>
        <w:ind w:left="851" w:hanging="851"/>
        <w:jc w:val="left"/>
        <w:rPr>
          <w:b/>
        </w:rPr>
      </w:pPr>
      <w:r>
        <w:rPr>
          <w:b/>
        </w:rPr>
        <w:t xml:space="preserve">Point sur les dépenses d’intervention </w:t>
      </w:r>
      <w:r w:rsidR="005E4F26">
        <w:rPr>
          <w:b/>
        </w:rPr>
        <w:t xml:space="preserve">directe </w:t>
      </w:r>
      <w:r w:rsidR="001B2624">
        <w:rPr>
          <w:b/>
        </w:rPr>
        <w:t xml:space="preserve">au </w:t>
      </w:r>
      <w:r w:rsidR="00D029F9">
        <w:rPr>
          <w:b/>
        </w:rPr>
        <w:t xml:space="preserve">30 </w:t>
      </w:r>
      <w:r w:rsidR="00950DBA">
        <w:rPr>
          <w:b/>
        </w:rPr>
        <w:t>novembre</w:t>
      </w:r>
      <w:r>
        <w:rPr>
          <w:b/>
        </w:rPr>
        <w:t xml:space="preserve"> 201</w:t>
      </w:r>
      <w:r w:rsidR="00950DBA">
        <w:rPr>
          <w:b/>
        </w:rPr>
        <w:t>6</w:t>
      </w:r>
    </w:p>
    <w:p w:rsidR="00952736" w:rsidRDefault="00952736">
      <w:pPr>
        <w:spacing w:before="0" w:after="0"/>
        <w:jc w:val="left"/>
        <w:rPr>
          <w:b/>
          <w:u w:val="single"/>
        </w:rPr>
      </w:pPr>
    </w:p>
    <w:p w:rsidR="00520706" w:rsidRPr="00520706" w:rsidRDefault="00520706" w:rsidP="005F126B">
      <w:pPr>
        <w:spacing w:before="0" w:after="360"/>
        <w:rPr>
          <w:b/>
          <w:u w:val="single"/>
        </w:rPr>
      </w:pPr>
      <w:r w:rsidRPr="00520706">
        <w:rPr>
          <w:b/>
          <w:u w:val="single"/>
        </w:rPr>
        <w:t>Eléments de contexte</w:t>
      </w:r>
    </w:p>
    <w:p w:rsidR="00520706" w:rsidRDefault="0063204E" w:rsidP="0063204E">
      <w:pPr>
        <w:spacing w:before="0"/>
      </w:pPr>
      <w:r>
        <w:t>La fin de l’année 2016 est impactée par le projet de refonte du système</w:t>
      </w:r>
      <w:r w:rsidR="00F208BC">
        <w:t xml:space="preserve"> d’information</w:t>
      </w:r>
      <w:r>
        <w:t>.</w:t>
      </w:r>
    </w:p>
    <w:p w:rsidR="00F208BC" w:rsidRDefault="0063204E" w:rsidP="0063204E">
      <w:pPr>
        <w:spacing w:before="0"/>
      </w:pPr>
      <w:r>
        <w:t xml:space="preserve">En effet, afin de préparer les opérations de bascule, </w:t>
      </w:r>
      <w:r w:rsidR="00F208BC">
        <w:t xml:space="preserve">le portail </w:t>
      </w:r>
      <w:r w:rsidR="00F208BC" w:rsidRPr="00950DBA">
        <w:rPr>
          <w:sz w:val="28"/>
        </w:rPr>
        <w:t>e</w:t>
      </w:r>
      <w:r w:rsidR="00F208BC">
        <w:t>-plateforme qui permet de saisir les demandes d’aides a été fermé le 1</w:t>
      </w:r>
      <w:r w:rsidR="00F208BC" w:rsidRPr="00F208BC">
        <w:rPr>
          <w:vertAlign w:val="superscript"/>
        </w:rPr>
        <w:t>er</w:t>
      </w:r>
      <w:r w:rsidR="00F208BC">
        <w:t xml:space="preserve"> décembre 2016. Par ailleurs, depuis le 1</w:t>
      </w:r>
      <w:r w:rsidR="00F208BC" w:rsidRPr="00F208BC">
        <w:rPr>
          <w:vertAlign w:val="superscript"/>
        </w:rPr>
        <w:t>er</w:t>
      </w:r>
      <w:r w:rsidR="00F208BC">
        <w:t xml:space="preserve"> octobre 2016, seules les demandes sur factures sont acceptées. De ce fait, les employeurs ont anticipé la clôture du système, le mois de novembre a ainsi enregistré un nombre record de demandes. On peut noter également que le nouveau catalogue des interventions prend effet au 1</w:t>
      </w:r>
      <w:r w:rsidR="00F208BC" w:rsidRPr="00F208BC">
        <w:rPr>
          <w:vertAlign w:val="superscript"/>
        </w:rPr>
        <w:t>er</w:t>
      </w:r>
      <w:r w:rsidR="00F208BC">
        <w:t xml:space="preserve"> janvier 2017 et a pu entrainer un afflux de demandes.</w:t>
      </w:r>
    </w:p>
    <w:p w:rsidR="005F5BC2" w:rsidRDefault="005F5BC2" w:rsidP="0063204E">
      <w:pPr>
        <w:spacing w:before="0"/>
      </w:pPr>
      <w:r>
        <w:t>Enfin depuis la parution du décret n°</w:t>
      </w:r>
      <w:r w:rsidR="00B26F7C" w:rsidRPr="00B26F7C">
        <w:t>2016-783 du 10 juin 2016</w:t>
      </w:r>
      <w:r>
        <w:t xml:space="preserve">, les bénéficiaires de </w:t>
      </w:r>
      <w:r w:rsidR="009C5DCD">
        <w:t>l’obligation d’emploi peuvent saisir le fonds.</w:t>
      </w:r>
    </w:p>
    <w:p w:rsidR="0063204E" w:rsidRPr="00E146E3" w:rsidRDefault="0063204E" w:rsidP="00520706">
      <w:pPr>
        <w:spacing w:before="0"/>
      </w:pPr>
    </w:p>
    <w:p w:rsidR="00E146E3" w:rsidRPr="00E146E3" w:rsidRDefault="00E146E3" w:rsidP="005F126B">
      <w:pPr>
        <w:spacing w:before="0" w:after="360"/>
        <w:rPr>
          <w:b/>
          <w:u w:val="single"/>
        </w:rPr>
      </w:pPr>
      <w:r w:rsidRPr="00E146E3">
        <w:rPr>
          <w:b/>
          <w:u w:val="single"/>
        </w:rPr>
        <w:t>Focus sur les dépenses d’intervention directes</w:t>
      </w:r>
    </w:p>
    <w:p w:rsidR="005E5F8D" w:rsidRPr="00E146E3" w:rsidRDefault="005E5F8D" w:rsidP="00DD2ABE">
      <w:pPr>
        <w:spacing w:before="0" w:after="0"/>
        <w:rPr>
          <w:u w:val="single"/>
        </w:rPr>
      </w:pPr>
      <w:r w:rsidRPr="00E146E3">
        <w:rPr>
          <w:u w:val="single"/>
        </w:rPr>
        <w:t>Les aides plateformes</w:t>
      </w:r>
    </w:p>
    <w:p w:rsidR="004917AD" w:rsidRDefault="004917AD" w:rsidP="00DD2ABE">
      <w:pPr>
        <w:spacing w:before="0" w:after="0"/>
      </w:pPr>
    </w:p>
    <w:p w:rsidR="00DD1564" w:rsidRDefault="00DD1564" w:rsidP="009C5DCD">
      <w:pPr>
        <w:spacing w:before="0" w:after="0"/>
      </w:pPr>
      <w:r>
        <w:t xml:space="preserve">Le nombre de demandes d’aides plateforme au </w:t>
      </w:r>
      <w:r w:rsidR="00D029F9">
        <w:t xml:space="preserve">30 </w:t>
      </w:r>
      <w:r w:rsidR="00337E4D">
        <w:t xml:space="preserve">novembre </w:t>
      </w:r>
      <w:r>
        <w:t>201</w:t>
      </w:r>
      <w:r w:rsidR="00337E4D">
        <w:t>6</w:t>
      </w:r>
      <w:r>
        <w:t xml:space="preserve"> s’établit à </w:t>
      </w:r>
      <w:r w:rsidR="00337E4D">
        <w:t>11 614</w:t>
      </w:r>
      <w:r w:rsidR="00E2465D">
        <w:t xml:space="preserve"> aides </w:t>
      </w:r>
      <w:r w:rsidR="0001116A">
        <w:t>contre</w:t>
      </w:r>
      <w:r>
        <w:t xml:space="preserve"> </w:t>
      </w:r>
      <w:r w:rsidR="00337E4D">
        <w:t>10</w:t>
      </w:r>
      <w:r w:rsidR="00E2465D">
        <w:t> 0</w:t>
      </w:r>
      <w:r w:rsidR="00337E4D">
        <w:t>46</w:t>
      </w:r>
      <w:r w:rsidR="00E2465D">
        <w:t xml:space="preserve"> aides</w:t>
      </w:r>
      <w:r w:rsidR="00D029F9">
        <w:t xml:space="preserve"> </w:t>
      </w:r>
      <w:r>
        <w:t xml:space="preserve">à fin </w:t>
      </w:r>
      <w:r w:rsidR="00337E4D">
        <w:t>novembre</w:t>
      </w:r>
      <w:r>
        <w:t xml:space="preserve"> </w:t>
      </w:r>
      <w:r w:rsidRPr="00337E4D">
        <w:t>201</w:t>
      </w:r>
      <w:r w:rsidR="00337E4D" w:rsidRPr="00337E4D">
        <w:t>5</w:t>
      </w:r>
      <w:r w:rsidRPr="00337E4D">
        <w:t xml:space="preserve"> (soit +</w:t>
      </w:r>
      <w:r w:rsidR="00E2465D" w:rsidRPr="00337E4D">
        <w:t>1</w:t>
      </w:r>
      <w:r w:rsidR="00337E4D" w:rsidRPr="00337E4D">
        <w:t>5</w:t>
      </w:r>
      <w:r w:rsidR="00E2465D" w:rsidRPr="00337E4D">
        <w:t>,6</w:t>
      </w:r>
      <w:r w:rsidRPr="00337E4D">
        <w:t>%) ;</w:t>
      </w:r>
      <w:r w:rsidR="0063204E">
        <w:t xml:space="preserve"> le mois de novembre a ainsi enregistré le plus grand nombre de demandes (1 663) depuis la création du fonds. Cette situation s’explique notamment par l’arrêt programmé de la saisie sur </w:t>
      </w:r>
      <w:proofErr w:type="gramStart"/>
      <w:r w:rsidR="0063204E">
        <w:t>la e-plateforme</w:t>
      </w:r>
      <w:proofErr w:type="gramEnd"/>
      <w:r w:rsidR="0063204E">
        <w:t xml:space="preserve"> à compter du 1</w:t>
      </w:r>
      <w:r w:rsidR="0063204E" w:rsidRPr="009C5DCD">
        <w:rPr>
          <w:vertAlign w:val="superscript"/>
        </w:rPr>
        <w:t>er</w:t>
      </w:r>
      <w:r w:rsidR="0063204E">
        <w:t xml:space="preserve"> décembre.</w:t>
      </w:r>
    </w:p>
    <w:p w:rsidR="009C5DCD" w:rsidRDefault="009C5DCD" w:rsidP="009C5DCD">
      <w:pPr>
        <w:spacing w:before="0" w:after="0"/>
      </w:pPr>
    </w:p>
    <w:p w:rsidR="009C5DCD" w:rsidRDefault="009C5DCD" w:rsidP="009C5DCD">
      <w:pPr>
        <w:spacing w:before="0"/>
      </w:pPr>
      <w:r>
        <w:t>Les demandes se répartissent comme suit par fonction publique :</w:t>
      </w:r>
    </w:p>
    <w:p w:rsidR="009C5DCD" w:rsidRDefault="009C5DCD" w:rsidP="009C5DCD">
      <w:pPr>
        <w:spacing w:before="0" w:after="0"/>
      </w:pPr>
      <w:r>
        <w:tab/>
        <w:t>- 70% pour la fonction publique territoriale ;</w:t>
      </w:r>
    </w:p>
    <w:p w:rsidR="009C5DCD" w:rsidRDefault="009C5DCD" w:rsidP="009C5DCD">
      <w:pPr>
        <w:spacing w:before="0" w:after="0"/>
      </w:pPr>
      <w:r>
        <w:tab/>
        <w:t>- 19% pour la fonction publique hospitalière ;</w:t>
      </w:r>
    </w:p>
    <w:p w:rsidR="009C5DCD" w:rsidRDefault="009C5DCD" w:rsidP="009C5DCD">
      <w:pPr>
        <w:spacing w:before="0" w:after="0"/>
        <w:ind w:firstLine="708"/>
      </w:pPr>
      <w:r>
        <w:t>- 11% pour la fonction publique de l’Etat.</w:t>
      </w:r>
    </w:p>
    <w:p w:rsidR="009C5DCD" w:rsidRDefault="009C5DCD" w:rsidP="009C5DCD">
      <w:pPr>
        <w:spacing w:before="0" w:after="0"/>
      </w:pPr>
    </w:p>
    <w:p w:rsidR="00CB0D29" w:rsidRDefault="009C5DCD" w:rsidP="00CB0D29">
      <w:pPr>
        <w:spacing w:before="0"/>
      </w:pPr>
      <w:r>
        <w:t>L</w:t>
      </w:r>
      <w:r w:rsidR="005670E0">
        <w:t xml:space="preserve">es montants </w:t>
      </w:r>
      <w:r w:rsidR="00E2465D">
        <w:t xml:space="preserve">des paiements </w:t>
      </w:r>
      <w:r w:rsidR="005670E0">
        <w:t xml:space="preserve">correspondant s’établissent à </w:t>
      </w:r>
      <w:r w:rsidR="008D4013">
        <w:t>19</w:t>
      </w:r>
      <w:r w:rsidR="00F2718C" w:rsidRPr="00F2718C">
        <w:t xml:space="preserve"> </w:t>
      </w:r>
      <w:r w:rsidR="008D4013">
        <w:t>848</w:t>
      </w:r>
      <w:r w:rsidR="00F2718C" w:rsidRPr="00F2718C">
        <w:t xml:space="preserve"> </w:t>
      </w:r>
      <w:r w:rsidR="00C035F2">
        <w:t>K</w:t>
      </w:r>
      <w:r w:rsidR="003F59B0">
        <w:t>€</w:t>
      </w:r>
      <w:r w:rsidR="00E2465D">
        <w:t xml:space="preserve"> à comparer au niveau constaté en </w:t>
      </w:r>
      <w:r w:rsidR="00F2718C">
        <w:t xml:space="preserve">novembre </w:t>
      </w:r>
      <w:r w:rsidR="00E2465D">
        <w:t>201</w:t>
      </w:r>
      <w:r w:rsidR="00F2718C">
        <w:t>5</w:t>
      </w:r>
      <w:r w:rsidR="00E2465D">
        <w:t xml:space="preserve"> de </w:t>
      </w:r>
      <w:r w:rsidR="005F126B">
        <w:t>1</w:t>
      </w:r>
      <w:r w:rsidR="008D4013">
        <w:t>7</w:t>
      </w:r>
      <w:r w:rsidR="005F126B">
        <w:t> </w:t>
      </w:r>
      <w:r w:rsidR="008D4013">
        <w:t>668</w:t>
      </w:r>
      <w:r w:rsidR="00E2465D" w:rsidRPr="005F126B">
        <w:t xml:space="preserve"> K€</w:t>
      </w:r>
      <w:r w:rsidR="008D4013">
        <w:t xml:space="preserve"> (soit +1</w:t>
      </w:r>
      <w:r w:rsidR="005F126B" w:rsidRPr="005F126B">
        <w:t>2</w:t>
      </w:r>
      <w:r w:rsidR="008D4013">
        <w:t>,</w:t>
      </w:r>
      <w:r w:rsidR="005F126B" w:rsidRPr="005F126B">
        <w:t>3</w:t>
      </w:r>
      <w:r w:rsidR="003B13AA" w:rsidRPr="005F126B">
        <w:t>%)</w:t>
      </w:r>
      <w:r w:rsidR="005F126B">
        <w:t xml:space="preserve">. Toutefois cette évolution doit être appréhendée en tenant compte </w:t>
      </w:r>
      <w:r w:rsidR="00CB0D29">
        <w:t>des facteurs de contexte indiqués plus haut :</w:t>
      </w:r>
    </w:p>
    <w:p w:rsidR="00CB0D29" w:rsidRDefault="00CB0D29" w:rsidP="00CB0D29">
      <w:pPr>
        <w:spacing w:before="0"/>
        <w:ind w:firstLine="708"/>
      </w:pPr>
      <w:r>
        <w:t>- effet volume (+15,6%) ;</w:t>
      </w:r>
    </w:p>
    <w:p w:rsidR="009C5DCD" w:rsidRDefault="00CB0D29" w:rsidP="00CB0D29">
      <w:pPr>
        <w:spacing w:before="0"/>
        <w:ind w:left="709"/>
      </w:pPr>
      <w:r>
        <w:t>- effet liés à la nature des demandes effectuées (sur factures) générant systématiquement des paiements.</w:t>
      </w:r>
    </w:p>
    <w:p w:rsidR="008D4013" w:rsidRDefault="008D4013" w:rsidP="008D4013">
      <w:pPr>
        <w:spacing w:before="0"/>
      </w:pPr>
      <w:r>
        <w:t xml:space="preserve">Le montant des dépenses en attente de paiement s’établit à </w:t>
      </w:r>
      <w:r w:rsidRPr="008D4013">
        <w:t xml:space="preserve">2 841 </w:t>
      </w:r>
      <w:r>
        <w:t>K</w:t>
      </w:r>
      <w:r w:rsidRPr="008D4013">
        <w:t xml:space="preserve"> €</w:t>
      </w:r>
      <w:r>
        <w:t>. Au total le montant des aides plateformes (y compris les aides non payées) s’établirait à 22 700 K€.</w:t>
      </w:r>
    </w:p>
    <w:p w:rsidR="005E5F8D" w:rsidRDefault="007C136A" w:rsidP="009C5DCD">
      <w:pPr>
        <w:spacing w:before="0" w:after="0"/>
      </w:pPr>
      <w:r>
        <w:t>L</w:t>
      </w:r>
      <w:r w:rsidR="005E5F8D">
        <w:t xml:space="preserve">e montant moyen d’une aide mis en paiement </w:t>
      </w:r>
      <w:r>
        <w:t xml:space="preserve">s’établit à 2044€ soit un montant </w:t>
      </w:r>
      <w:r w:rsidR="00757373">
        <w:t xml:space="preserve">légèrement </w:t>
      </w:r>
      <w:r w:rsidR="00DD1564">
        <w:t xml:space="preserve">supérieur </w:t>
      </w:r>
      <w:r>
        <w:t>à celui de la même période de l’année précédente : 2024€.</w:t>
      </w:r>
    </w:p>
    <w:p w:rsidR="00785E54" w:rsidRDefault="00785E54" w:rsidP="009C5DCD">
      <w:pPr>
        <w:spacing w:before="0" w:after="0"/>
      </w:pPr>
    </w:p>
    <w:p w:rsidR="00785E54" w:rsidRDefault="00785E54" w:rsidP="009C5DCD">
      <w:pPr>
        <w:spacing w:before="0" w:after="0"/>
      </w:pPr>
      <w:r>
        <w:lastRenderedPageBreak/>
        <w:t xml:space="preserve">Le tableau ci-après donne la ventilation des aides </w:t>
      </w:r>
      <w:r w:rsidR="00CA6FEB">
        <w:t xml:space="preserve">payées sur la plateforme </w:t>
      </w:r>
      <w:r>
        <w:t>par types</w:t>
      </w:r>
      <w:r w:rsidR="00CA6FEB">
        <w:t xml:space="preserve"> de financement</w:t>
      </w:r>
      <w:r>
        <w:t>.</w:t>
      </w:r>
    </w:p>
    <w:p w:rsidR="00785E54" w:rsidRDefault="00785E54" w:rsidP="009C5DCD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0"/>
        <w:gridCol w:w="1492"/>
        <w:gridCol w:w="1492"/>
        <w:gridCol w:w="1610"/>
        <w:gridCol w:w="1610"/>
      </w:tblGrid>
      <w:tr w:rsidR="008D4013" w:rsidRPr="008D4013" w:rsidTr="008D4013">
        <w:trPr>
          <w:trHeight w:val="690"/>
        </w:trPr>
        <w:tc>
          <w:tcPr>
            <w:tcW w:w="6040" w:type="dxa"/>
            <w:shd w:val="clear" w:color="auto" w:fill="D9D9D9" w:themeFill="background1" w:themeFillShade="D9"/>
            <w:noWrap/>
            <w:vAlign w:val="center"/>
            <w:hideMark/>
          </w:tcPr>
          <w:p w:rsidR="008D4013" w:rsidRPr="008D4013" w:rsidRDefault="008D4013" w:rsidP="008D4013">
            <w:pPr>
              <w:spacing w:before="0" w:after="0"/>
              <w:jc w:val="center"/>
              <w:rPr>
                <w:b/>
                <w:bCs/>
              </w:rPr>
            </w:pPr>
            <w:r w:rsidRPr="008D4013">
              <w:rPr>
                <w:b/>
                <w:bCs/>
              </w:rPr>
              <w:t>Type de Financement</w:t>
            </w:r>
          </w:p>
        </w:tc>
        <w:tc>
          <w:tcPr>
            <w:tcW w:w="2380" w:type="dxa"/>
            <w:shd w:val="clear" w:color="auto" w:fill="D9D9D9" w:themeFill="background1" w:themeFillShade="D9"/>
            <w:noWrap/>
            <w:vAlign w:val="center"/>
            <w:hideMark/>
          </w:tcPr>
          <w:p w:rsidR="008D4013" w:rsidRPr="008D4013" w:rsidRDefault="008D4013" w:rsidP="008D4013">
            <w:pPr>
              <w:spacing w:before="0" w:after="0"/>
              <w:jc w:val="center"/>
              <w:rPr>
                <w:b/>
                <w:bCs/>
              </w:rPr>
            </w:pPr>
            <w:r w:rsidRPr="008D4013">
              <w:rPr>
                <w:b/>
                <w:bCs/>
              </w:rPr>
              <w:t>Etat</w:t>
            </w:r>
          </w:p>
        </w:tc>
        <w:tc>
          <w:tcPr>
            <w:tcW w:w="2380" w:type="dxa"/>
            <w:shd w:val="clear" w:color="auto" w:fill="D9D9D9" w:themeFill="background1" w:themeFillShade="D9"/>
            <w:noWrap/>
            <w:vAlign w:val="center"/>
            <w:hideMark/>
          </w:tcPr>
          <w:p w:rsidR="008D4013" w:rsidRPr="008D4013" w:rsidRDefault="008D4013" w:rsidP="008D4013">
            <w:pPr>
              <w:spacing w:before="0" w:after="0"/>
              <w:jc w:val="center"/>
              <w:rPr>
                <w:b/>
                <w:bCs/>
              </w:rPr>
            </w:pPr>
            <w:r w:rsidRPr="008D4013">
              <w:rPr>
                <w:b/>
                <w:bCs/>
              </w:rPr>
              <w:t>Hospitalière</w:t>
            </w:r>
          </w:p>
        </w:tc>
        <w:tc>
          <w:tcPr>
            <w:tcW w:w="2580" w:type="dxa"/>
            <w:shd w:val="clear" w:color="auto" w:fill="D9D9D9" w:themeFill="background1" w:themeFillShade="D9"/>
            <w:noWrap/>
            <w:vAlign w:val="center"/>
            <w:hideMark/>
          </w:tcPr>
          <w:p w:rsidR="008D4013" w:rsidRPr="008D4013" w:rsidRDefault="008D4013" w:rsidP="008D4013">
            <w:pPr>
              <w:spacing w:before="0" w:after="0"/>
              <w:jc w:val="center"/>
              <w:rPr>
                <w:b/>
                <w:bCs/>
              </w:rPr>
            </w:pPr>
            <w:r w:rsidRPr="008D4013">
              <w:rPr>
                <w:b/>
                <w:bCs/>
              </w:rPr>
              <w:t>Territoriale</w:t>
            </w:r>
          </w:p>
        </w:tc>
        <w:tc>
          <w:tcPr>
            <w:tcW w:w="2580" w:type="dxa"/>
            <w:shd w:val="clear" w:color="auto" w:fill="D9D9D9" w:themeFill="background1" w:themeFillShade="D9"/>
            <w:noWrap/>
            <w:vAlign w:val="center"/>
            <w:hideMark/>
          </w:tcPr>
          <w:p w:rsidR="008D4013" w:rsidRPr="008D4013" w:rsidRDefault="008D4013" w:rsidP="008D4013">
            <w:pPr>
              <w:spacing w:before="0" w:after="0"/>
              <w:jc w:val="center"/>
              <w:rPr>
                <w:b/>
                <w:bCs/>
              </w:rPr>
            </w:pPr>
            <w:r w:rsidRPr="008D4013">
              <w:rPr>
                <w:b/>
                <w:bCs/>
              </w:rPr>
              <w:t>Total général</w:t>
            </w:r>
          </w:p>
        </w:tc>
      </w:tr>
      <w:tr w:rsidR="008D4013" w:rsidRPr="008D4013" w:rsidTr="008D4013">
        <w:trPr>
          <w:trHeight w:val="619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Aides versées pour améliorer les conditions de vie et faciliter l'insertion professionnelle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725 103,62 €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1 667 599,73 €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2 806 435,28 €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5 199 138,63 €</w:t>
            </w:r>
          </w:p>
        </w:tc>
      </w:tr>
      <w:tr w:rsidR="008D4013" w:rsidRPr="008D4013" w:rsidTr="008D4013">
        <w:trPr>
          <w:trHeight w:val="557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Aménagements des postes de travail et études y afférentes (hors agent inapte)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486 956,25 €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823 677,63 €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2 623 037,92 €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3 933 671,80 €</w:t>
            </w:r>
          </w:p>
        </w:tc>
      </w:tr>
      <w:tr w:rsidR="008D4013" w:rsidRPr="008D4013" w:rsidTr="008D4013">
        <w:trPr>
          <w:trHeight w:val="423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Contrat d'apprentissage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65 686,75 €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259 011,39 €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3 353 746,89 €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3 678 445,03 €</w:t>
            </w:r>
          </w:p>
        </w:tc>
      </w:tr>
      <w:tr w:rsidR="008D4013" w:rsidRPr="008D4013" w:rsidTr="008D4013">
        <w:trPr>
          <w:trHeight w:val="685"/>
        </w:trPr>
        <w:tc>
          <w:tcPr>
            <w:tcW w:w="6040" w:type="dxa"/>
            <w:hideMark/>
          </w:tcPr>
          <w:p w:rsidR="008D4013" w:rsidRPr="008D4013" w:rsidRDefault="008D4013" w:rsidP="006655D9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 xml:space="preserve">Rémunérations des personnes ou organismes chargés d'accompagner un agent </w:t>
            </w:r>
            <w:r w:rsidR="006655D9">
              <w:rPr>
                <w:sz w:val="18"/>
                <w:szCs w:val="18"/>
              </w:rPr>
              <w:t>en situation de handicap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142 639,39 €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340 408,42 €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1 460 609,02 €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1 943 656,83 €</w:t>
            </w:r>
          </w:p>
        </w:tc>
      </w:tr>
      <w:tr w:rsidR="008D4013" w:rsidRPr="008D4013" w:rsidTr="008D4013">
        <w:trPr>
          <w:trHeight w:val="567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Adaptations postes de travail afin de maintenir dans l'emploi les agents inaptes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107 671,35 €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365 603,11 €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1 098 975,69 €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1 572 250,15 €</w:t>
            </w:r>
          </w:p>
        </w:tc>
      </w:tr>
      <w:tr w:rsidR="008D4013" w:rsidRPr="008D4013" w:rsidTr="008D4013">
        <w:trPr>
          <w:trHeight w:val="419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Formation et information des travailleurs handicapés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66 642,33 €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220 326,47 €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1 252 359,75 €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1 539 328,55 €</w:t>
            </w:r>
          </w:p>
        </w:tc>
      </w:tr>
      <w:tr w:rsidR="008D4013" w:rsidRPr="008D4013" w:rsidTr="008D4013">
        <w:trPr>
          <w:trHeight w:val="270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CAE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4 000,00 €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42 000,00 €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534 057,17 €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580 057,17 €</w:t>
            </w:r>
          </w:p>
        </w:tc>
      </w:tr>
      <w:tr w:rsidR="008D4013" w:rsidRPr="008D4013" w:rsidTr="008D4013">
        <w:trPr>
          <w:trHeight w:val="557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Dispositif d'accompagnement dans l'emploi des personnes handicapées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29 431,20 €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135 189,88 €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256 345,12 €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420 966,20 €</w:t>
            </w:r>
          </w:p>
        </w:tc>
      </w:tr>
      <w:tr w:rsidR="008D4013" w:rsidRPr="008D4013" w:rsidTr="008D4013">
        <w:trPr>
          <w:trHeight w:val="267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Dépenses d'études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75 287,44 €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118 215,52 €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157 298,45 €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350 801,41 €</w:t>
            </w:r>
          </w:p>
        </w:tc>
      </w:tr>
      <w:tr w:rsidR="008D4013" w:rsidRPr="008D4013" w:rsidTr="008D4013">
        <w:trPr>
          <w:trHeight w:val="286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Emploi d'avenir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7 736,20 €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5 534,80 €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292 108,51 €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305 379,51 €</w:t>
            </w:r>
          </w:p>
        </w:tc>
      </w:tr>
      <w:tr w:rsidR="008D4013" w:rsidRPr="008D4013" w:rsidTr="008D4013">
        <w:trPr>
          <w:trHeight w:val="701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 xml:space="preserve">Formation et information des personnels susceptibles d'être en relation avec les travailleurs </w:t>
            </w:r>
            <w:r>
              <w:rPr>
                <w:sz w:val="18"/>
                <w:szCs w:val="18"/>
              </w:rPr>
              <w:t xml:space="preserve">en situation de </w:t>
            </w:r>
            <w:r w:rsidRPr="008D4013">
              <w:rPr>
                <w:sz w:val="18"/>
                <w:szCs w:val="18"/>
              </w:rPr>
              <w:t>handicap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127 938,35 €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41 127,57 €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74 072,42 €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243 138,34 €</w:t>
            </w:r>
          </w:p>
        </w:tc>
      </w:tr>
      <w:tr w:rsidR="008D4013" w:rsidRPr="008D4013" w:rsidTr="008D4013">
        <w:trPr>
          <w:trHeight w:val="414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Accessibilité au poste de travail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350,74 €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4 520,28 €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62 240,91 €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67 111,93 €</w:t>
            </w:r>
          </w:p>
        </w:tc>
      </w:tr>
      <w:tr w:rsidR="008D4013" w:rsidRPr="008D4013" w:rsidTr="008D4013">
        <w:trPr>
          <w:trHeight w:val="405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Etudiants, élèves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1 584,69 €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10 103,42 €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11 688,11 €</w:t>
            </w:r>
          </w:p>
        </w:tc>
      </w:tr>
      <w:tr w:rsidR="008D4013" w:rsidRPr="008D4013" w:rsidTr="008D4013">
        <w:trPr>
          <w:trHeight w:val="425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Contrats </w:t>
            </w:r>
            <w:r w:rsidRPr="008D4013">
              <w:rPr>
                <w:sz w:val="18"/>
                <w:szCs w:val="18"/>
              </w:rPr>
              <w:t>Pactes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1 950,00 €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1 950,00 €</w:t>
            </w:r>
          </w:p>
        </w:tc>
      </w:tr>
      <w:tr w:rsidR="008D4013" w:rsidRPr="008D4013" w:rsidTr="008D4013">
        <w:trPr>
          <w:trHeight w:val="404"/>
        </w:trPr>
        <w:tc>
          <w:tcPr>
            <w:tcW w:w="6040" w:type="dxa"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Outil de communication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119,00 €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8D4013">
            <w:pPr>
              <w:spacing w:before="0" w:after="0"/>
              <w:rPr>
                <w:sz w:val="18"/>
                <w:szCs w:val="18"/>
              </w:rPr>
            </w:pPr>
            <w:r w:rsidRPr="008D4013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8D4013" w:rsidRPr="008D4013" w:rsidRDefault="008D4013" w:rsidP="00CA6FEB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119,00 €</w:t>
            </w:r>
          </w:p>
        </w:tc>
      </w:tr>
      <w:tr w:rsidR="008D4013" w:rsidRPr="008D4013" w:rsidTr="00CA6FEB">
        <w:trPr>
          <w:trHeight w:val="565"/>
        </w:trPr>
        <w:tc>
          <w:tcPr>
            <w:tcW w:w="6040" w:type="dxa"/>
            <w:shd w:val="clear" w:color="auto" w:fill="A6A6A6" w:themeFill="background1" w:themeFillShade="A6"/>
            <w:noWrap/>
            <w:vAlign w:val="center"/>
            <w:hideMark/>
          </w:tcPr>
          <w:p w:rsidR="008D4013" w:rsidRPr="008D4013" w:rsidRDefault="008D4013" w:rsidP="00CA6FEB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80" w:type="dxa"/>
            <w:shd w:val="clear" w:color="auto" w:fill="A6A6A6" w:themeFill="background1" w:themeFillShade="A6"/>
            <w:noWrap/>
            <w:vAlign w:val="center"/>
            <w:hideMark/>
          </w:tcPr>
          <w:p w:rsidR="008D4013" w:rsidRPr="008D4013" w:rsidRDefault="008D4013" w:rsidP="00CA6FEB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1 839 443,62 €</w:t>
            </w:r>
          </w:p>
        </w:tc>
        <w:tc>
          <w:tcPr>
            <w:tcW w:w="2380" w:type="dxa"/>
            <w:shd w:val="clear" w:color="auto" w:fill="A6A6A6" w:themeFill="background1" w:themeFillShade="A6"/>
            <w:noWrap/>
            <w:vAlign w:val="center"/>
            <w:hideMark/>
          </w:tcPr>
          <w:p w:rsidR="008D4013" w:rsidRPr="008D4013" w:rsidRDefault="008D4013" w:rsidP="00CA6FEB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4 024 918,49 €</w:t>
            </w:r>
          </w:p>
        </w:tc>
        <w:tc>
          <w:tcPr>
            <w:tcW w:w="2580" w:type="dxa"/>
            <w:shd w:val="clear" w:color="auto" w:fill="A6A6A6" w:themeFill="background1" w:themeFillShade="A6"/>
            <w:noWrap/>
            <w:vAlign w:val="center"/>
            <w:hideMark/>
          </w:tcPr>
          <w:p w:rsidR="008D4013" w:rsidRPr="008D4013" w:rsidRDefault="008D4013" w:rsidP="00CA6FEB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13 983 340,55 €</w:t>
            </w:r>
          </w:p>
        </w:tc>
        <w:tc>
          <w:tcPr>
            <w:tcW w:w="2580" w:type="dxa"/>
            <w:shd w:val="clear" w:color="auto" w:fill="A6A6A6" w:themeFill="background1" w:themeFillShade="A6"/>
            <w:noWrap/>
            <w:vAlign w:val="center"/>
            <w:hideMark/>
          </w:tcPr>
          <w:p w:rsidR="008D4013" w:rsidRPr="008D4013" w:rsidRDefault="008D4013" w:rsidP="00CA6FEB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8D4013">
              <w:rPr>
                <w:b/>
                <w:bCs/>
                <w:sz w:val="18"/>
                <w:szCs w:val="18"/>
              </w:rPr>
              <w:t>19 847 702,66 €</w:t>
            </w:r>
          </w:p>
        </w:tc>
      </w:tr>
    </w:tbl>
    <w:p w:rsidR="008D4013" w:rsidRDefault="008D4013" w:rsidP="009C5DCD">
      <w:pPr>
        <w:spacing w:before="0" w:after="0"/>
      </w:pPr>
    </w:p>
    <w:p w:rsidR="00342DBB" w:rsidRDefault="006655D9" w:rsidP="006715EB">
      <w:pPr>
        <w:spacing w:before="0" w:after="0"/>
      </w:pPr>
      <w:r>
        <w:br w:type="column"/>
      </w:r>
    </w:p>
    <w:p w:rsidR="00342DBB" w:rsidRPr="00E146E3" w:rsidRDefault="00342DBB" w:rsidP="00342DBB">
      <w:pPr>
        <w:spacing w:before="0" w:after="0"/>
        <w:rPr>
          <w:u w:val="single"/>
        </w:rPr>
      </w:pPr>
      <w:r w:rsidRPr="00E146E3">
        <w:rPr>
          <w:u w:val="single"/>
        </w:rPr>
        <w:t>L</w:t>
      </w:r>
      <w:r>
        <w:rPr>
          <w:u w:val="single"/>
        </w:rPr>
        <w:t>a</w:t>
      </w:r>
      <w:r w:rsidRPr="00E146E3">
        <w:rPr>
          <w:u w:val="single"/>
        </w:rPr>
        <w:t xml:space="preserve"> </w:t>
      </w:r>
      <w:r>
        <w:rPr>
          <w:u w:val="single"/>
        </w:rPr>
        <w:t>saisine directe</w:t>
      </w:r>
    </w:p>
    <w:p w:rsidR="009C5DCD" w:rsidRPr="009C5DCD" w:rsidRDefault="009C5DCD" w:rsidP="009350F4">
      <w:pPr>
        <w:spacing w:before="100" w:beforeAutospacing="1"/>
        <w:rPr>
          <w:szCs w:val="18"/>
        </w:rPr>
      </w:pPr>
      <w:r>
        <w:t>Les</w:t>
      </w:r>
      <w:r w:rsidRPr="009C5DCD">
        <w:rPr>
          <w:szCs w:val="18"/>
        </w:rPr>
        <w:t xml:space="preserve"> agents reconnus travailleurs handicapés peuvent saisir le fonds d’une demande de financement pour les actions suivantes :</w:t>
      </w:r>
    </w:p>
    <w:p w:rsidR="009C5DCD" w:rsidRPr="009C5DCD" w:rsidRDefault="009C5DCD" w:rsidP="009350F4">
      <w:pPr>
        <w:numPr>
          <w:ilvl w:val="0"/>
          <w:numId w:val="14"/>
        </w:numPr>
        <w:spacing w:before="100" w:beforeAutospacing="1"/>
        <w:ind w:left="240"/>
        <w:rPr>
          <w:szCs w:val="18"/>
        </w:rPr>
      </w:pPr>
      <w:r w:rsidRPr="009C5DCD">
        <w:rPr>
          <w:szCs w:val="18"/>
        </w:rPr>
        <w:t>Les aménagements des postes de travail et les études y afférentes effectués avec le concours du médecin chargé de la prévention ou du médecin du travail et des instances compétentes en matière d'hygiène, de sécurit</w:t>
      </w:r>
      <w:r w:rsidR="009747B3">
        <w:rPr>
          <w:szCs w:val="18"/>
        </w:rPr>
        <w:t>é et de conditions de travail ;</w:t>
      </w:r>
    </w:p>
    <w:p w:rsidR="009C5DCD" w:rsidRPr="009C5DCD" w:rsidRDefault="009C5DCD" w:rsidP="009350F4">
      <w:pPr>
        <w:numPr>
          <w:ilvl w:val="0"/>
          <w:numId w:val="14"/>
        </w:numPr>
        <w:spacing w:before="100" w:beforeAutospacing="1"/>
        <w:ind w:left="240"/>
        <w:rPr>
          <w:szCs w:val="18"/>
        </w:rPr>
      </w:pPr>
      <w:r w:rsidRPr="009C5DCD">
        <w:rPr>
          <w:szCs w:val="18"/>
        </w:rPr>
        <w:t xml:space="preserve">Les rémunérations versées aux agents chargés d'accompagner une personne handicapée dans l'exercice de ses fonctions professionnelles ou les prestations équivalentes servies par </w:t>
      </w:r>
      <w:r w:rsidR="009747B3">
        <w:rPr>
          <w:szCs w:val="18"/>
        </w:rPr>
        <w:t>des organismes de droit privé ;</w:t>
      </w:r>
    </w:p>
    <w:p w:rsidR="009C5DCD" w:rsidRPr="009C5DCD" w:rsidRDefault="009C5DCD" w:rsidP="009350F4">
      <w:pPr>
        <w:numPr>
          <w:ilvl w:val="0"/>
          <w:numId w:val="15"/>
        </w:numPr>
        <w:spacing w:before="100" w:beforeAutospacing="1"/>
        <w:ind w:left="240"/>
        <w:rPr>
          <w:szCs w:val="18"/>
        </w:rPr>
      </w:pPr>
      <w:r w:rsidRPr="009C5DCD">
        <w:rPr>
          <w:szCs w:val="18"/>
        </w:rPr>
        <w:t>La formation et l'information des travailleurs handicapés.</w:t>
      </w:r>
    </w:p>
    <w:p w:rsidR="009C5DCD" w:rsidRPr="009C5DCD" w:rsidRDefault="009C5DCD" w:rsidP="009350F4">
      <w:pPr>
        <w:spacing w:before="100" w:beforeAutospacing="1"/>
      </w:pPr>
      <w:r w:rsidRPr="009C5DCD">
        <w:t>L’agent doit produire à l’appui de sa demande :</w:t>
      </w:r>
    </w:p>
    <w:p w:rsidR="009C5DCD" w:rsidRPr="009C5DCD" w:rsidRDefault="009C5DCD" w:rsidP="009350F4">
      <w:pPr>
        <w:pStyle w:val="Paragraphedeliste"/>
        <w:numPr>
          <w:ilvl w:val="0"/>
          <w:numId w:val="17"/>
        </w:numPr>
        <w:spacing w:before="0" w:after="0"/>
        <w:ind w:left="714" w:hanging="357"/>
      </w:pPr>
      <w:r w:rsidRPr="009C5DCD">
        <w:t>une pièce justifiant de son handicap au sens de l’article L. 5212-13 du code du travail,</w:t>
      </w:r>
    </w:p>
    <w:p w:rsidR="009C5DCD" w:rsidRPr="009C5DCD" w:rsidRDefault="009C5DCD" w:rsidP="009350F4">
      <w:pPr>
        <w:pStyle w:val="Paragraphedeliste"/>
        <w:numPr>
          <w:ilvl w:val="0"/>
          <w:numId w:val="17"/>
        </w:numPr>
        <w:spacing w:before="0" w:after="0"/>
        <w:ind w:left="714" w:hanging="357"/>
      </w:pPr>
      <w:r w:rsidRPr="009C5DCD">
        <w:t>une pièce justifiant de sa rémunération par un employeur public relevant du Fonds (dernière fiche de paie).</w:t>
      </w:r>
    </w:p>
    <w:p w:rsidR="009C5DCD" w:rsidRPr="009C5DCD" w:rsidRDefault="009C5DCD" w:rsidP="009350F4">
      <w:pPr>
        <w:spacing w:before="100" w:beforeAutospacing="1" w:after="360"/>
        <w:rPr>
          <w:szCs w:val="18"/>
        </w:rPr>
      </w:pPr>
      <w:r w:rsidRPr="009C5DCD">
        <w:rPr>
          <w:szCs w:val="18"/>
        </w:rPr>
        <w:t>Le fonds procède à l’examen de la recevabilité de la demande de financement.</w:t>
      </w:r>
    </w:p>
    <w:p w:rsidR="009C5DCD" w:rsidRPr="009C5DCD" w:rsidRDefault="009C5DCD" w:rsidP="009350F4">
      <w:pPr>
        <w:spacing w:before="100" w:beforeAutospacing="1" w:after="360"/>
        <w:rPr>
          <w:szCs w:val="18"/>
        </w:rPr>
      </w:pPr>
      <w:r w:rsidRPr="009C5DCD">
        <w:rPr>
          <w:szCs w:val="18"/>
        </w:rPr>
        <w:t>Si la demande n’est pas recevable, il informe l’agent de son rejet.</w:t>
      </w:r>
    </w:p>
    <w:p w:rsidR="009C5DCD" w:rsidRPr="009C5DCD" w:rsidRDefault="009C5DCD" w:rsidP="009350F4">
      <w:pPr>
        <w:spacing w:before="100" w:beforeAutospacing="1" w:after="360"/>
        <w:rPr>
          <w:szCs w:val="18"/>
        </w:rPr>
      </w:pPr>
      <w:r w:rsidRPr="009C5DCD">
        <w:rPr>
          <w:szCs w:val="18"/>
        </w:rPr>
        <w:t xml:space="preserve">Si la demande est recevable, il la transmet à l’employeur de l’agent en lui précisant les conditions d’attribution du financement. Il informe l’agent de cette transmission. </w:t>
      </w:r>
      <w:r w:rsidRPr="009C5DCD">
        <w:rPr>
          <w:b/>
          <w:bCs/>
          <w:szCs w:val="18"/>
        </w:rPr>
        <w:t>La décision de recevabilité notifiée à l’employeur ne vaut pas obligation de faire.</w:t>
      </w:r>
    </w:p>
    <w:p w:rsidR="009C5DCD" w:rsidRDefault="009C5DCD" w:rsidP="009350F4">
      <w:pPr>
        <w:spacing w:before="100" w:beforeAutospacing="1" w:after="360"/>
        <w:rPr>
          <w:szCs w:val="18"/>
        </w:rPr>
      </w:pPr>
      <w:r w:rsidRPr="009C5DCD">
        <w:rPr>
          <w:szCs w:val="18"/>
        </w:rPr>
        <w:t>L’employeur procède à l’instruction de la demande et fait connaître au fonds la possibilité de réalisation de l’action dont le financement a été sollicité par l’agent auprès du fonds. Le FIPHFP informe l’agent des suites données à son dossier.</w:t>
      </w:r>
    </w:p>
    <w:p w:rsidR="009350F4" w:rsidRDefault="00785E54" w:rsidP="009350F4">
      <w:pPr>
        <w:spacing w:before="100" w:beforeAutospacing="1" w:after="360"/>
        <w:rPr>
          <w:szCs w:val="18"/>
        </w:rPr>
      </w:pPr>
      <w:r>
        <w:rPr>
          <w:szCs w:val="18"/>
        </w:rPr>
        <w:t xml:space="preserve">Depuis </w:t>
      </w:r>
      <w:r w:rsidR="00B26F7C">
        <w:rPr>
          <w:szCs w:val="18"/>
        </w:rPr>
        <w:t>le d</w:t>
      </w:r>
      <w:r w:rsidR="00B26F7C" w:rsidRPr="00B26F7C">
        <w:rPr>
          <w:szCs w:val="18"/>
        </w:rPr>
        <w:t>écret n° 2016-783 du 10 juin 2016</w:t>
      </w:r>
      <w:r>
        <w:rPr>
          <w:szCs w:val="18"/>
        </w:rPr>
        <w:t xml:space="preserve">, le FIPHFP a réceptionné </w:t>
      </w:r>
      <w:r w:rsidR="009350F4">
        <w:rPr>
          <w:szCs w:val="18"/>
        </w:rPr>
        <w:t>12</w:t>
      </w:r>
      <w:r w:rsidR="006655D9">
        <w:rPr>
          <w:szCs w:val="18"/>
        </w:rPr>
        <w:t xml:space="preserve"> demandes</w:t>
      </w:r>
      <w:r w:rsidR="009350F4">
        <w:rPr>
          <w:szCs w:val="18"/>
        </w:rPr>
        <w:t xml:space="preserve"> non éligibles dans le cadre de la procédure de saisine directe</w:t>
      </w:r>
      <w:r w:rsidR="006655D9">
        <w:rPr>
          <w:szCs w:val="18"/>
        </w:rPr>
        <w:t>.</w:t>
      </w:r>
      <w:r w:rsidR="009350F4">
        <w:rPr>
          <w:szCs w:val="18"/>
        </w:rPr>
        <w:t xml:space="preserve"> Parmi ces dossiers, 1 dossier concernait un demandeur d’emploi </w:t>
      </w:r>
      <w:r w:rsidR="00822132">
        <w:rPr>
          <w:szCs w:val="18"/>
        </w:rPr>
        <w:t xml:space="preserve">(non éligible) </w:t>
      </w:r>
      <w:r w:rsidR="009350F4">
        <w:rPr>
          <w:szCs w:val="18"/>
        </w:rPr>
        <w:t xml:space="preserve">pour l’achat d’un véhicule adapté. Il est à noter que dans le cadre des demandes d’information, le FIPHFP répond aux interrogations des personnes ne relevant pas de la fonction publique sur des questions générales. </w:t>
      </w:r>
      <w:r w:rsidR="00822132">
        <w:rPr>
          <w:szCs w:val="18"/>
        </w:rPr>
        <w:t>Parmi les 11 dossiers restant, 2 concernaient l’achat de véhicule et 9 concernaient des prothèses auditives.</w:t>
      </w:r>
    </w:p>
    <w:p w:rsidR="009350F4" w:rsidRDefault="009350F4" w:rsidP="009350F4">
      <w:pPr>
        <w:spacing w:before="100" w:beforeAutospacing="1" w:after="360"/>
        <w:rPr>
          <w:szCs w:val="18"/>
        </w:rPr>
      </w:pPr>
      <w:r>
        <w:rPr>
          <w:szCs w:val="18"/>
        </w:rPr>
        <w:t xml:space="preserve">Concernant les demandes </w:t>
      </w:r>
      <w:r w:rsidR="00822132" w:rsidRPr="00822132">
        <w:rPr>
          <w:szCs w:val="18"/>
        </w:rPr>
        <w:t>dans le cadre des financements éligibles</w:t>
      </w:r>
      <w:r w:rsidR="00822132">
        <w:rPr>
          <w:szCs w:val="18"/>
        </w:rPr>
        <w:t xml:space="preserve">, celles-ci concernaient une demande de formation </w:t>
      </w:r>
      <w:r w:rsidR="00822132" w:rsidRPr="00822132">
        <w:rPr>
          <w:szCs w:val="18"/>
        </w:rPr>
        <w:t xml:space="preserve">"les métiers de la forme" </w:t>
      </w:r>
      <w:r w:rsidR="00822132">
        <w:rPr>
          <w:szCs w:val="18"/>
        </w:rPr>
        <w:t xml:space="preserve">pour une </w:t>
      </w:r>
      <w:r w:rsidR="00822132" w:rsidRPr="00822132">
        <w:rPr>
          <w:szCs w:val="18"/>
        </w:rPr>
        <w:t>rec</w:t>
      </w:r>
      <w:r w:rsidR="00822132">
        <w:rPr>
          <w:szCs w:val="18"/>
        </w:rPr>
        <w:t>onversion en dehors de</w:t>
      </w:r>
      <w:r w:rsidR="00822132" w:rsidRPr="00822132">
        <w:rPr>
          <w:szCs w:val="18"/>
        </w:rPr>
        <w:t xml:space="preserve"> la fonction publique</w:t>
      </w:r>
      <w:r w:rsidR="00822132">
        <w:rPr>
          <w:szCs w:val="18"/>
        </w:rPr>
        <w:t xml:space="preserve"> et un bilan de compétence pour une personne en disponibilité d’office.</w:t>
      </w:r>
    </w:p>
    <w:p w:rsidR="00822132" w:rsidRDefault="00822132" w:rsidP="009350F4">
      <w:pPr>
        <w:spacing w:before="100" w:beforeAutospacing="1" w:after="360"/>
        <w:rPr>
          <w:szCs w:val="18"/>
        </w:rPr>
      </w:pPr>
      <w:r>
        <w:rPr>
          <w:szCs w:val="18"/>
        </w:rPr>
        <w:t>4 dossiers sur les 13 agents éligibles provenaient d’agents de la fonction publique de l’Etat et les 9 autres d’employeurs de la fonction publique territoriale.</w:t>
      </w:r>
    </w:p>
    <w:p w:rsidR="00A42502" w:rsidRPr="00E146E3" w:rsidRDefault="00822132" w:rsidP="00822132">
      <w:pPr>
        <w:spacing w:before="100" w:beforeAutospacing="1" w:after="360"/>
        <w:rPr>
          <w:u w:val="single"/>
        </w:rPr>
      </w:pPr>
      <w:r>
        <w:rPr>
          <w:szCs w:val="18"/>
        </w:rPr>
        <w:br w:type="column"/>
      </w:r>
      <w:r w:rsidR="001B2624" w:rsidRPr="00E146E3">
        <w:rPr>
          <w:u w:val="single"/>
        </w:rPr>
        <w:lastRenderedPageBreak/>
        <w:t>Le programme accessibilité</w:t>
      </w:r>
    </w:p>
    <w:p w:rsidR="001B2624" w:rsidRDefault="001B2624" w:rsidP="001B2624">
      <w:pPr>
        <w:spacing w:before="0" w:after="0"/>
        <w:rPr>
          <w:b/>
          <w:u w:val="single"/>
        </w:rPr>
      </w:pPr>
    </w:p>
    <w:p w:rsidR="00A23C68" w:rsidRDefault="00A23C68" w:rsidP="001B2624">
      <w:pPr>
        <w:spacing w:before="0" w:after="0"/>
        <w:rPr>
          <w:b/>
          <w:u w:val="single"/>
        </w:rPr>
      </w:pPr>
    </w:p>
    <w:p w:rsidR="001B2624" w:rsidRDefault="001B2624" w:rsidP="00785E54">
      <w:pPr>
        <w:spacing w:before="0" w:after="0"/>
      </w:pPr>
      <w:r w:rsidRPr="001B2624">
        <w:t>Le nombre de demandes de financement reçues depuis le début de l’année 201</w:t>
      </w:r>
      <w:r w:rsidR="003A2102">
        <w:t>6</w:t>
      </w:r>
      <w:r w:rsidRPr="001B2624">
        <w:t xml:space="preserve"> est en </w:t>
      </w:r>
      <w:r w:rsidR="00F9443A">
        <w:t xml:space="preserve">augmentation </w:t>
      </w:r>
      <w:r w:rsidR="003A2102">
        <w:t>de plus 54,4% par comparaison avec la même période de l’année précédente.</w:t>
      </w:r>
    </w:p>
    <w:p w:rsidR="003A2102" w:rsidRDefault="003A2102" w:rsidP="00785E54">
      <w:pPr>
        <w:spacing w:before="0" w:after="0"/>
      </w:pPr>
    </w:p>
    <w:p w:rsidR="003A2102" w:rsidRDefault="003A2102" w:rsidP="00785E54">
      <w:pPr>
        <w:spacing w:before="0" w:after="0"/>
      </w:pPr>
      <w:r>
        <w:t xml:space="preserve">Si le contexte lié au système d’informations explique en partie cette augmentation, l’impact des </w:t>
      </w:r>
      <w:proofErr w:type="spellStart"/>
      <w:r w:rsidRPr="003A2102">
        <w:t>Ad’AP</w:t>
      </w:r>
      <w:proofErr w:type="spellEnd"/>
      <w:r w:rsidR="00A403EA">
        <w:t xml:space="preserve"> est également un élément explicatif. En effet même s’il ne concerne pas directement les locaux professionnels, il a été l’occasion d’établir un diagnostic général de l’accessibilité des bâtiments. </w:t>
      </w:r>
    </w:p>
    <w:p w:rsidR="00785E54" w:rsidRPr="003A2102" w:rsidRDefault="00785E54" w:rsidP="00785E54">
      <w:pPr>
        <w:spacing w:before="0" w:after="0"/>
        <w:rPr>
          <w:highlight w:val="yellow"/>
        </w:rPr>
      </w:pPr>
    </w:p>
    <w:p w:rsidR="00F60715" w:rsidRDefault="00F60715" w:rsidP="00F60715">
      <w:pPr>
        <w:spacing w:before="0"/>
      </w:pPr>
      <w:r>
        <w:t>Les montants des paiements correspondant s’établissent à 10</w:t>
      </w:r>
      <w:r w:rsidRPr="00F2718C">
        <w:t xml:space="preserve"> </w:t>
      </w:r>
      <w:r>
        <w:t>918</w:t>
      </w:r>
      <w:r w:rsidRPr="00F2718C">
        <w:t xml:space="preserve"> </w:t>
      </w:r>
      <w:r>
        <w:t>K€ à comparer au niveau constaté en novembre 2016 de 12 723</w:t>
      </w:r>
      <w:r w:rsidRPr="005F126B">
        <w:t xml:space="preserve"> K€ (soit </w:t>
      </w:r>
      <w:r>
        <w:t>-14,2</w:t>
      </w:r>
      <w:r w:rsidRPr="005F126B">
        <w:t>%)</w:t>
      </w:r>
      <w:r>
        <w:t xml:space="preserve"> pour un nombre </w:t>
      </w:r>
      <w:r w:rsidR="009F120C">
        <w:t>d</w:t>
      </w:r>
      <w:r>
        <w:t>e paiement</w:t>
      </w:r>
      <w:r w:rsidR="009F120C">
        <w:t>s</w:t>
      </w:r>
      <w:r>
        <w:t xml:space="preserve"> en augmentation (+13%).</w:t>
      </w:r>
      <w:r w:rsidRPr="00F60715">
        <w:t xml:space="preserve"> </w:t>
      </w:r>
      <w:r>
        <w:t xml:space="preserve">Le montant moyen d’un paiement est en diminution de 24,2%. Cette diminution s’explique </w:t>
      </w:r>
      <w:r w:rsidR="007C0E58">
        <w:t>par des opérations de mise en accessibilité de moindre envergure mais aussi par la mise en place des nouveaux barèmes de prise en charge par composant.</w:t>
      </w:r>
    </w:p>
    <w:p w:rsidR="007C0E58" w:rsidRDefault="007C0E58" w:rsidP="007C0E58">
      <w:pPr>
        <w:spacing w:before="0"/>
      </w:pPr>
      <w:r>
        <w:t>Les montants versés au titre de l’accessibilité se répartissent comme suit par fonction publique :</w:t>
      </w:r>
    </w:p>
    <w:p w:rsidR="007C0E58" w:rsidRDefault="007C0E58" w:rsidP="004F13CE">
      <w:pPr>
        <w:spacing w:before="0" w:after="0"/>
      </w:pPr>
      <w:r>
        <w:t>- 58,7% pour la fonction publique territoriale (6 415 K€);</w:t>
      </w:r>
    </w:p>
    <w:p w:rsidR="007C0E58" w:rsidRDefault="007C0E58" w:rsidP="004F13CE">
      <w:pPr>
        <w:spacing w:before="0" w:after="0"/>
      </w:pPr>
      <w:r>
        <w:t>- 6,2% pour la fonction publique hospitalière (671 K€);</w:t>
      </w:r>
    </w:p>
    <w:p w:rsidR="007C0E58" w:rsidRDefault="007C0E58" w:rsidP="007C0E58">
      <w:pPr>
        <w:spacing w:before="0" w:after="0"/>
      </w:pPr>
      <w:r>
        <w:t>- 35,1% pour l</w:t>
      </w:r>
      <w:r w:rsidR="004F13CE">
        <w:t>a fonction publique de l’Etat (</w:t>
      </w:r>
      <w:r>
        <w:t>3 831 K€).</w:t>
      </w:r>
    </w:p>
    <w:p w:rsidR="00326103" w:rsidRDefault="00326103" w:rsidP="007C0E58">
      <w:pPr>
        <w:spacing w:before="0" w:after="0"/>
      </w:pPr>
    </w:p>
    <w:p w:rsidR="004F13CE" w:rsidRDefault="00326103" w:rsidP="00326103">
      <w:pPr>
        <w:spacing w:before="0" w:after="240"/>
      </w:pPr>
      <w:r>
        <w:t>Par programme, la ventilation s’établit comme suit :</w:t>
      </w:r>
    </w:p>
    <w:p w:rsidR="00326103" w:rsidRDefault="00326103" w:rsidP="00326103">
      <w:pPr>
        <w:spacing w:before="0" w:after="0"/>
      </w:pPr>
      <w:r>
        <w:t>- accessibilité aux locaux professionnels :</w:t>
      </w:r>
      <w:r>
        <w:tab/>
      </w:r>
      <w:r>
        <w:tab/>
        <w:t>7 902 K€</w:t>
      </w:r>
    </w:p>
    <w:p w:rsidR="00326103" w:rsidRDefault="00326103" w:rsidP="00326103">
      <w:pPr>
        <w:spacing w:before="0" w:after="0"/>
      </w:pPr>
      <w:r>
        <w:t>- accessibilité aux écoles du service publique :</w:t>
      </w:r>
      <w:r>
        <w:tab/>
        <w:t xml:space="preserve">974 K€  </w:t>
      </w:r>
    </w:p>
    <w:p w:rsidR="00326103" w:rsidRDefault="00326103" w:rsidP="00326103">
      <w:pPr>
        <w:spacing w:before="0" w:after="0"/>
      </w:pPr>
      <w:r>
        <w:t>- accessibilité numérique :</w:t>
      </w:r>
      <w:r>
        <w:tab/>
      </w:r>
      <w:r>
        <w:tab/>
      </w:r>
      <w:r>
        <w:tab/>
      </w:r>
      <w:r>
        <w:tab/>
        <w:t>2 043 K€</w:t>
      </w:r>
    </w:p>
    <w:p w:rsidR="004F13CE" w:rsidRDefault="004F13CE" w:rsidP="007C0E58">
      <w:pPr>
        <w:spacing w:before="0" w:after="0"/>
      </w:pPr>
    </w:p>
    <w:p w:rsidR="004F13CE" w:rsidRDefault="004F13CE" w:rsidP="007C0E58">
      <w:pPr>
        <w:spacing w:before="0" w:after="0"/>
      </w:pPr>
    </w:p>
    <w:p w:rsidR="001B2624" w:rsidRDefault="001B2624" w:rsidP="001B2624">
      <w:pPr>
        <w:spacing w:before="0" w:after="0"/>
      </w:pPr>
    </w:p>
    <w:p w:rsidR="00326103" w:rsidRDefault="00326103">
      <w:pPr>
        <w:spacing w:before="0" w:after="0"/>
        <w:jc w:val="left"/>
      </w:pPr>
      <w:r>
        <w:br w:type="page"/>
      </w:r>
    </w:p>
    <w:p w:rsidR="001B2624" w:rsidRPr="00E146E3" w:rsidRDefault="0023081D" w:rsidP="001B2624">
      <w:pPr>
        <w:spacing w:before="0" w:after="0"/>
        <w:rPr>
          <w:u w:val="single"/>
        </w:rPr>
      </w:pPr>
      <w:r>
        <w:rPr>
          <w:u w:val="single"/>
        </w:rPr>
        <w:lastRenderedPageBreak/>
        <w:t>Les conventions employeurs et centres de gestion.</w:t>
      </w:r>
    </w:p>
    <w:p w:rsidR="001B2624" w:rsidRDefault="001B2624" w:rsidP="001B2624">
      <w:pPr>
        <w:spacing w:before="0" w:after="0"/>
        <w:rPr>
          <w:b/>
          <w:u w:val="single"/>
        </w:rPr>
      </w:pPr>
    </w:p>
    <w:p w:rsidR="001B2624" w:rsidRDefault="005E7AED" w:rsidP="00785E54">
      <w:pPr>
        <w:spacing w:before="0" w:after="0"/>
      </w:pPr>
      <w:r>
        <w:t xml:space="preserve">Au </w:t>
      </w:r>
      <w:r w:rsidR="003D62C6">
        <w:t xml:space="preserve">30 </w:t>
      </w:r>
      <w:r w:rsidR="00785E54">
        <w:t xml:space="preserve">novembre </w:t>
      </w:r>
      <w:r>
        <w:t>201</w:t>
      </w:r>
      <w:r w:rsidR="00785E54">
        <w:t>6</w:t>
      </w:r>
      <w:r>
        <w:t>, 3</w:t>
      </w:r>
      <w:r w:rsidR="00785E54">
        <w:t>89</w:t>
      </w:r>
      <w:r>
        <w:t xml:space="preserve"> conventions étaient en </w:t>
      </w:r>
      <w:r w:rsidR="00785E54">
        <w:t>gestion</w:t>
      </w:r>
      <w:r w:rsidR="00705841">
        <w:t xml:space="preserve"> se répartissant comme suit :</w:t>
      </w:r>
    </w:p>
    <w:p w:rsidR="00705841" w:rsidRDefault="00705841" w:rsidP="00785E54">
      <w:pPr>
        <w:spacing w:before="0" w:after="0"/>
      </w:pPr>
    </w:p>
    <w:p w:rsidR="00705841" w:rsidRDefault="00705841" w:rsidP="0001116A">
      <w:pPr>
        <w:tabs>
          <w:tab w:val="left" w:pos="709"/>
        </w:tabs>
        <w:spacing w:before="0"/>
        <w:ind w:left="142" w:hanging="142"/>
      </w:pPr>
      <w:r>
        <w:t>- 259 conventions pour la fonction publique territorial</w:t>
      </w:r>
      <w:r w:rsidR="008D6395">
        <w:t>e</w:t>
      </w:r>
      <w:r>
        <w:t xml:space="preserve"> pour un montant total </w:t>
      </w:r>
      <w:r w:rsidR="00B26F7C">
        <w:t xml:space="preserve">d’engagement </w:t>
      </w:r>
      <w:r>
        <w:t>de</w:t>
      </w:r>
      <w:r w:rsidR="008D6395">
        <w:t xml:space="preserve"> </w:t>
      </w:r>
      <w:r w:rsidRPr="00705841">
        <w:t>173</w:t>
      </w:r>
      <w:r>
        <w:t> </w:t>
      </w:r>
      <w:r w:rsidRPr="00705841">
        <w:t>403</w:t>
      </w:r>
      <w:r>
        <w:t> K€</w:t>
      </w:r>
      <w:r w:rsidR="004B2A5E">
        <w:t xml:space="preserve">. Les conventions avec les centres de gestion représentent </w:t>
      </w:r>
      <w:r w:rsidR="00B26F7C">
        <w:t>37,5</w:t>
      </w:r>
      <w:r w:rsidR="004B2A5E">
        <w:t xml:space="preserve">% du total pour un montant total </w:t>
      </w:r>
      <w:r w:rsidR="00B26F7C">
        <w:t xml:space="preserve">d’engagement </w:t>
      </w:r>
      <w:r w:rsidR="004B2A5E">
        <w:t>de  </w:t>
      </w:r>
      <w:r w:rsidR="00B26F7C">
        <w:t>48 268 </w:t>
      </w:r>
      <w:r w:rsidR="004B2A5E">
        <w:t>K€.</w:t>
      </w:r>
    </w:p>
    <w:p w:rsidR="00705841" w:rsidRDefault="00705841" w:rsidP="00B26F7C">
      <w:pPr>
        <w:tabs>
          <w:tab w:val="left" w:pos="709"/>
        </w:tabs>
        <w:spacing w:before="0"/>
        <w:ind w:left="142" w:hanging="142"/>
      </w:pPr>
      <w:r>
        <w:t xml:space="preserve">- 93 </w:t>
      </w:r>
      <w:r w:rsidR="004B2A5E">
        <w:t xml:space="preserve">conventions </w:t>
      </w:r>
      <w:r>
        <w:t xml:space="preserve">pour la fonction publique hospitalière pour un montant total </w:t>
      </w:r>
      <w:r w:rsidR="00B26F7C">
        <w:t xml:space="preserve">d’engagement </w:t>
      </w:r>
      <w:r>
        <w:t>de 43 480K€;</w:t>
      </w:r>
    </w:p>
    <w:p w:rsidR="00705841" w:rsidRDefault="00705841" w:rsidP="00B26F7C">
      <w:pPr>
        <w:tabs>
          <w:tab w:val="left" w:pos="709"/>
        </w:tabs>
        <w:spacing w:before="0"/>
        <w:ind w:left="142" w:hanging="142"/>
      </w:pPr>
      <w:r>
        <w:t xml:space="preserve">- 37 </w:t>
      </w:r>
      <w:r w:rsidR="004B2A5E">
        <w:t xml:space="preserve">conventions </w:t>
      </w:r>
      <w:r>
        <w:t xml:space="preserve">pour la fonction publique de l’Etat pour un montant total </w:t>
      </w:r>
      <w:r w:rsidR="00B26F7C">
        <w:t xml:space="preserve">d’engagement </w:t>
      </w:r>
      <w:r>
        <w:t>de 116 888€.</w:t>
      </w:r>
    </w:p>
    <w:p w:rsidR="00B26F7C" w:rsidRDefault="00B26F7C" w:rsidP="00B26F7C">
      <w:pPr>
        <w:spacing w:before="0" w:after="0"/>
      </w:pPr>
      <w:r>
        <w:t>La répartition entre primo-conventions et convention de renouvellement s’établit comme suit :</w:t>
      </w:r>
    </w:p>
    <w:p w:rsidR="00B26F7C" w:rsidRDefault="00B26F7C" w:rsidP="00B26F7C">
      <w:pPr>
        <w:spacing w:before="0" w:after="0"/>
      </w:pPr>
    </w:p>
    <w:p w:rsidR="00B26F7C" w:rsidRDefault="00B26F7C" w:rsidP="00B26F7C">
      <w:pPr>
        <w:tabs>
          <w:tab w:val="left" w:pos="709"/>
        </w:tabs>
        <w:spacing w:before="0"/>
        <w:ind w:left="142" w:hanging="142"/>
      </w:pPr>
      <w:r>
        <w:t>- pour la fonction publique territoriale, 76 primo-conventions dont 18 avec les centres de gestion pour 183 conventions de renouvellement dont 79 avec les centres de gestion.</w:t>
      </w:r>
    </w:p>
    <w:p w:rsidR="00B26F7C" w:rsidRDefault="00B26F7C" w:rsidP="00B26F7C">
      <w:pPr>
        <w:spacing w:before="0"/>
        <w:ind w:left="142" w:hanging="142"/>
      </w:pPr>
      <w:r>
        <w:t>- pour la fonction publique hospitalière, 66 primo-conventions pour 27 conventions de renouvellement.</w:t>
      </w:r>
    </w:p>
    <w:p w:rsidR="00B26F7C" w:rsidRDefault="00B26F7C" w:rsidP="00B26F7C">
      <w:pPr>
        <w:spacing w:before="0" w:after="0"/>
        <w:ind w:left="142" w:hanging="142"/>
      </w:pPr>
      <w:r>
        <w:t>- pour la fonction publique de l’Etat, 9 primo-conventions pour 28 conventions de renouvellement.</w:t>
      </w:r>
    </w:p>
    <w:p w:rsidR="00B26F7C" w:rsidRDefault="00B26F7C" w:rsidP="00B26F7C">
      <w:pPr>
        <w:tabs>
          <w:tab w:val="left" w:pos="709"/>
        </w:tabs>
        <w:spacing w:before="0"/>
        <w:ind w:left="142" w:hanging="142"/>
      </w:pPr>
    </w:p>
    <w:p w:rsidR="00785E54" w:rsidRDefault="00785E54" w:rsidP="00785E54">
      <w:pPr>
        <w:spacing w:before="0"/>
      </w:pPr>
      <w:r>
        <w:t xml:space="preserve">Les montants versés </w:t>
      </w:r>
      <w:r w:rsidR="00B26F7C">
        <w:t xml:space="preserve">à fin novembre 2016 </w:t>
      </w:r>
      <w:r>
        <w:t>au titre des conventions se répartissent comme suit par fonction publique :</w:t>
      </w:r>
    </w:p>
    <w:p w:rsidR="00785E54" w:rsidRDefault="00785E54" w:rsidP="0001116A">
      <w:pPr>
        <w:spacing w:before="0"/>
      </w:pPr>
      <w:r>
        <w:t xml:space="preserve">- </w:t>
      </w:r>
      <w:r w:rsidR="00B26F7C">
        <w:t xml:space="preserve">35 166 K€ </w:t>
      </w:r>
      <w:r>
        <w:t>pour la fonction publique territoriale</w:t>
      </w:r>
      <w:r w:rsidR="00B26F7C">
        <w:t xml:space="preserve"> (62,7%)</w:t>
      </w:r>
      <w:r>
        <w:t>;</w:t>
      </w:r>
    </w:p>
    <w:p w:rsidR="00785E54" w:rsidRDefault="00785E54" w:rsidP="0001116A">
      <w:pPr>
        <w:spacing w:before="0"/>
      </w:pPr>
      <w:r>
        <w:t xml:space="preserve">- </w:t>
      </w:r>
      <w:r w:rsidR="00B26F7C">
        <w:t xml:space="preserve">5 324 K€ </w:t>
      </w:r>
      <w:r>
        <w:t xml:space="preserve">pour la fonction publique hospitalière </w:t>
      </w:r>
      <w:r w:rsidR="00B26F7C">
        <w:t>(9,5%)</w:t>
      </w:r>
      <w:r>
        <w:t>;</w:t>
      </w:r>
    </w:p>
    <w:p w:rsidR="00785E54" w:rsidRDefault="00785E54" w:rsidP="004B2A5E">
      <w:pPr>
        <w:spacing w:before="0" w:after="0"/>
      </w:pPr>
      <w:r>
        <w:t xml:space="preserve">- </w:t>
      </w:r>
      <w:r w:rsidR="00B26F7C">
        <w:t xml:space="preserve">15 590 K€ </w:t>
      </w:r>
      <w:r>
        <w:t xml:space="preserve">pour la fonction publique de l’Etat </w:t>
      </w:r>
      <w:r w:rsidR="00B26F7C">
        <w:t>(27,8%)</w:t>
      </w:r>
      <w:r>
        <w:t>.</w:t>
      </w:r>
    </w:p>
    <w:p w:rsidR="00785E54" w:rsidRDefault="00785E54" w:rsidP="00757373">
      <w:pPr>
        <w:spacing w:before="0" w:after="0"/>
      </w:pPr>
    </w:p>
    <w:p w:rsidR="00622451" w:rsidRDefault="00622451" w:rsidP="00757373">
      <w:pPr>
        <w:spacing w:before="0" w:after="0"/>
        <w:jc w:val="left"/>
      </w:pPr>
    </w:p>
    <w:sectPr w:rsidR="00622451" w:rsidSect="00C279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90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6B" w:rsidRDefault="00F9236B">
      <w:r>
        <w:separator/>
      </w:r>
    </w:p>
  </w:endnote>
  <w:endnote w:type="continuationSeparator" w:id="0">
    <w:p w:rsidR="00F9236B" w:rsidRDefault="00F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4E" w:rsidRDefault="0063204E" w:rsidP="005B0A1F">
    <w:pPr>
      <w:pStyle w:val="Pieddepage"/>
      <w:jc w:val="left"/>
      <w:rPr>
        <w:b/>
        <w:color w:val="808080"/>
        <w:sz w:val="16"/>
      </w:rPr>
    </w:pPr>
    <w:r>
      <w:rPr>
        <w:b/>
        <w:color w:val="808080"/>
        <w:sz w:val="16"/>
      </w:rPr>
      <w:t>Caisse des dépôts et consignations</w:t>
    </w:r>
  </w:p>
  <w:p w:rsidR="0063204E" w:rsidRDefault="0063204E" w:rsidP="005B0A1F">
    <w:pPr>
      <w:pStyle w:val="Pieddepage"/>
      <w:jc w:val="left"/>
      <w:rPr>
        <w:sz w:val="18"/>
      </w:rPr>
    </w:pPr>
    <w:r>
      <w:rPr>
        <w:sz w:val="18"/>
      </w:rPr>
      <w:tab/>
    </w:r>
  </w:p>
  <w:p w:rsidR="0063204E" w:rsidRDefault="0063204E" w:rsidP="005B0A1F">
    <w:pPr>
      <w:pStyle w:val="Pieddepage"/>
      <w:jc w:val="left"/>
      <w:rPr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D807B9">
      <w:rPr>
        <w:rStyle w:val="Numrodepage"/>
        <w:noProof/>
        <w:sz w:val="18"/>
      </w:rPr>
      <w:t>5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D807B9">
      <w:rPr>
        <w:rStyle w:val="Numrodepage"/>
        <w:noProof/>
        <w:sz w:val="18"/>
      </w:rPr>
      <w:t>5</w:t>
    </w:r>
    <w:r>
      <w:rPr>
        <w:rStyle w:val="Numrodepag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4E" w:rsidRPr="006715EB" w:rsidRDefault="0063204E" w:rsidP="0094329A">
    <w:pPr>
      <w:spacing w:before="0" w:after="0"/>
      <w:jc w:val="lef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6B" w:rsidRDefault="00F9236B">
      <w:r>
        <w:separator/>
      </w:r>
    </w:p>
  </w:footnote>
  <w:footnote w:type="continuationSeparator" w:id="0">
    <w:p w:rsidR="00F9236B" w:rsidRDefault="00F9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4E" w:rsidRDefault="0063204E">
    <w:pPr>
      <w:pStyle w:val="En-tt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4E" w:rsidRDefault="00EF59E2" w:rsidP="00457010">
    <w:pPr>
      <w:pStyle w:val="En-tte"/>
      <w:ind w:left="-113"/>
      <w:jc w:val="left"/>
    </w:pPr>
    <w:r>
      <w:rPr>
        <w:rFonts w:ascii="Calibri" w:hAnsi="Calibri" w:cs="Calibri"/>
        <w:noProof/>
      </w:rPr>
      <w:drawing>
        <wp:inline distT="0" distB="0" distL="0" distR="0">
          <wp:extent cx="1081825" cy="672885"/>
          <wp:effectExtent l="0" t="0" r="4445" b="0"/>
          <wp:docPr id="1" name="Image 1" descr="Description : Logo FIPH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Description : Logo FIPHF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39" cy="67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04E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30"/>
    <w:multiLevelType w:val="hybridMultilevel"/>
    <w:tmpl w:val="E0E676EE"/>
    <w:lvl w:ilvl="0" w:tplc="FE78F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ABD"/>
    <w:multiLevelType w:val="multilevel"/>
    <w:tmpl w:val="6DD2A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001AEC"/>
    <w:multiLevelType w:val="multilevel"/>
    <w:tmpl w:val="224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719F6"/>
    <w:multiLevelType w:val="multilevel"/>
    <w:tmpl w:val="3740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44DA"/>
    <w:multiLevelType w:val="hybridMultilevel"/>
    <w:tmpl w:val="39468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5702"/>
    <w:multiLevelType w:val="multilevel"/>
    <w:tmpl w:val="3F9C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A45F7"/>
    <w:multiLevelType w:val="hybridMultilevel"/>
    <w:tmpl w:val="684A4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C7202"/>
    <w:multiLevelType w:val="hybridMultilevel"/>
    <w:tmpl w:val="2258F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F2210"/>
    <w:multiLevelType w:val="singleLevel"/>
    <w:tmpl w:val="0BBC9C7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6846C5"/>
    <w:multiLevelType w:val="multilevel"/>
    <w:tmpl w:val="AD24D5B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AE20E29"/>
    <w:multiLevelType w:val="hybridMultilevel"/>
    <w:tmpl w:val="DA381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04D64"/>
    <w:multiLevelType w:val="hybridMultilevel"/>
    <w:tmpl w:val="7174E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B6539"/>
    <w:multiLevelType w:val="hybridMultilevel"/>
    <w:tmpl w:val="FC12E364"/>
    <w:lvl w:ilvl="0" w:tplc="380816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453E4"/>
    <w:multiLevelType w:val="hybridMultilevel"/>
    <w:tmpl w:val="40EE5F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67292"/>
    <w:multiLevelType w:val="hybridMultilevel"/>
    <w:tmpl w:val="2848AF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F0C34"/>
    <w:multiLevelType w:val="hybridMultilevel"/>
    <w:tmpl w:val="9B2C7F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249C3"/>
    <w:multiLevelType w:val="hybridMultilevel"/>
    <w:tmpl w:val="DEAE7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2"/>
    <w:rsid w:val="00001A87"/>
    <w:rsid w:val="00001E38"/>
    <w:rsid w:val="0001116A"/>
    <w:rsid w:val="000145AC"/>
    <w:rsid w:val="00030F9D"/>
    <w:rsid w:val="00035958"/>
    <w:rsid w:val="00037FFB"/>
    <w:rsid w:val="0004150F"/>
    <w:rsid w:val="000419C8"/>
    <w:rsid w:val="00045510"/>
    <w:rsid w:val="000547AF"/>
    <w:rsid w:val="0006789F"/>
    <w:rsid w:val="000743C1"/>
    <w:rsid w:val="0008026F"/>
    <w:rsid w:val="000A04EF"/>
    <w:rsid w:val="000A3A50"/>
    <w:rsid w:val="000A6D05"/>
    <w:rsid w:val="000A71E4"/>
    <w:rsid w:val="000B1936"/>
    <w:rsid w:val="000B343A"/>
    <w:rsid w:val="000C1582"/>
    <w:rsid w:val="000F4E98"/>
    <w:rsid w:val="001052B3"/>
    <w:rsid w:val="0010602D"/>
    <w:rsid w:val="00106F0D"/>
    <w:rsid w:val="001105C2"/>
    <w:rsid w:val="0011535D"/>
    <w:rsid w:val="00124384"/>
    <w:rsid w:val="00127ADE"/>
    <w:rsid w:val="00127EFC"/>
    <w:rsid w:val="00130328"/>
    <w:rsid w:val="0013517E"/>
    <w:rsid w:val="00140CFC"/>
    <w:rsid w:val="00141F92"/>
    <w:rsid w:val="00145D44"/>
    <w:rsid w:val="0015140A"/>
    <w:rsid w:val="00156515"/>
    <w:rsid w:val="001847D0"/>
    <w:rsid w:val="00186808"/>
    <w:rsid w:val="001A474E"/>
    <w:rsid w:val="001B2624"/>
    <w:rsid w:val="001B37B0"/>
    <w:rsid w:val="001C4057"/>
    <w:rsid w:val="001C70BC"/>
    <w:rsid w:val="001C754B"/>
    <w:rsid w:val="001D62BB"/>
    <w:rsid w:val="00207294"/>
    <w:rsid w:val="0022595A"/>
    <w:rsid w:val="00230414"/>
    <w:rsid w:val="0023081D"/>
    <w:rsid w:val="002331E0"/>
    <w:rsid w:val="002522FA"/>
    <w:rsid w:val="00255934"/>
    <w:rsid w:val="002560BA"/>
    <w:rsid w:val="00256FEE"/>
    <w:rsid w:val="002607FE"/>
    <w:rsid w:val="00264939"/>
    <w:rsid w:val="002651C8"/>
    <w:rsid w:val="00267F62"/>
    <w:rsid w:val="00271658"/>
    <w:rsid w:val="00274592"/>
    <w:rsid w:val="00294930"/>
    <w:rsid w:val="002A5D90"/>
    <w:rsid w:val="002B0FE8"/>
    <w:rsid w:val="002C0B57"/>
    <w:rsid w:val="002C2B7F"/>
    <w:rsid w:val="002C6CBE"/>
    <w:rsid w:val="002F07F0"/>
    <w:rsid w:val="00305795"/>
    <w:rsid w:val="0030702B"/>
    <w:rsid w:val="00320803"/>
    <w:rsid w:val="00326103"/>
    <w:rsid w:val="00330199"/>
    <w:rsid w:val="00336A75"/>
    <w:rsid w:val="00337440"/>
    <w:rsid w:val="00337E4D"/>
    <w:rsid w:val="00341FAE"/>
    <w:rsid w:val="00342DBB"/>
    <w:rsid w:val="0034326B"/>
    <w:rsid w:val="003456D7"/>
    <w:rsid w:val="003512DA"/>
    <w:rsid w:val="003632B8"/>
    <w:rsid w:val="00377272"/>
    <w:rsid w:val="0038796C"/>
    <w:rsid w:val="003934B6"/>
    <w:rsid w:val="003A2102"/>
    <w:rsid w:val="003B13AA"/>
    <w:rsid w:val="003B15BC"/>
    <w:rsid w:val="003B3308"/>
    <w:rsid w:val="003C2796"/>
    <w:rsid w:val="003C3ED6"/>
    <w:rsid w:val="003D0184"/>
    <w:rsid w:val="003D0923"/>
    <w:rsid w:val="003D62C6"/>
    <w:rsid w:val="003D66C7"/>
    <w:rsid w:val="003D67D0"/>
    <w:rsid w:val="003F0275"/>
    <w:rsid w:val="003F43A7"/>
    <w:rsid w:val="003F4DE5"/>
    <w:rsid w:val="003F59B0"/>
    <w:rsid w:val="00406C77"/>
    <w:rsid w:val="00410961"/>
    <w:rsid w:val="004114D7"/>
    <w:rsid w:val="00411EFF"/>
    <w:rsid w:val="00417B01"/>
    <w:rsid w:val="00432F76"/>
    <w:rsid w:val="0043586A"/>
    <w:rsid w:val="00447AF8"/>
    <w:rsid w:val="00454AB2"/>
    <w:rsid w:val="00457010"/>
    <w:rsid w:val="004653C9"/>
    <w:rsid w:val="00465CBA"/>
    <w:rsid w:val="0047180F"/>
    <w:rsid w:val="00481FAB"/>
    <w:rsid w:val="00485789"/>
    <w:rsid w:val="00485BFB"/>
    <w:rsid w:val="004917AD"/>
    <w:rsid w:val="00494A06"/>
    <w:rsid w:val="004A1932"/>
    <w:rsid w:val="004B2A5E"/>
    <w:rsid w:val="004B3B5F"/>
    <w:rsid w:val="004B56DA"/>
    <w:rsid w:val="004D105A"/>
    <w:rsid w:val="004E11FE"/>
    <w:rsid w:val="004E79C6"/>
    <w:rsid w:val="004F13CE"/>
    <w:rsid w:val="00504E79"/>
    <w:rsid w:val="00520706"/>
    <w:rsid w:val="005219A8"/>
    <w:rsid w:val="00522726"/>
    <w:rsid w:val="005363E9"/>
    <w:rsid w:val="0055545D"/>
    <w:rsid w:val="005670E0"/>
    <w:rsid w:val="00577A06"/>
    <w:rsid w:val="0058255E"/>
    <w:rsid w:val="005865A4"/>
    <w:rsid w:val="005872CC"/>
    <w:rsid w:val="00591066"/>
    <w:rsid w:val="005B0A1F"/>
    <w:rsid w:val="005B1A8C"/>
    <w:rsid w:val="005B7728"/>
    <w:rsid w:val="005C2435"/>
    <w:rsid w:val="005D33D5"/>
    <w:rsid w:val="005D706B"/>
    <w:rsid w:val="005E23F9"/>
    <w:rsid w:val="005E4F26"/>
    <w:rsid w:val="005E5F8D"/>
    <w:rsid w:val="005E7AED"/>
    <w:rsid w:val="005F126B"/>
    <w:rsid w:val="005F14AD"/>
    <w:rsid w:val="005F5BC2"/>
    <w:rsid w:val="00600591"/>
    <w:rsid w:val="00601E54"/>
    <w:rsid w:val="00604F6A"/>
    <w:rsid w:val="006063B9"/>
    <w:rsid w:val="00607266"/>
    <w:rsid w:val="00622451"/>
    <w:rsid w:val="00627E1C"/>
    <w:rsid w:val="0063204E"/>
    <w:rsid w:val="00635FF3"/>
    <w:rsid w:val="006360BB"/>
    <w:rsid w:val="006655D9"/>
    <w:rsid w:val="006701D5"/>
    <w:rsid w:val="006715EB"/>
    <w:rsid w:val="00691C51"/>
    <w:rsid w:val="006A0045"/>
    <w:rsid w:val="006A709D"/>
    <w:rsid w:val="006D4EDD"/>
    <w:rsid w:val="006E221D"/>
    <w:rsid w:val="006E2E4B"/>
    <w:rsid w:val="006F0866"/>
    <w:rsid w:val="006F33CC"/>
    <w:rsid w:val="00705841"/>
    <w:rsid w:val="00707B1E"/>
    <w:rsid w:val="007178C8"/>
    <w:rsid w:val="007210EA"/>
    <w:rsid w:val="007215D0"/>
    <w:rsid w:val="00721E20"/>
    <w:rsid w:val="007379C4"/>
    <w:rsid w:val="00757373"/>
    <w:rsid w:val="0076133F"/>
    <w:rsid w:val="00763514"/>
    <w:rsid w:val="007724EE"/>
    <w:rsid w:val="007826D0"/>
    <w:rsid w:val="00785E54"/>
    <w:rsid w:val="00786E90"/>
    <w:rsid w:val="00794EDF"/>
    <w:rsid w:val="00795270"/>
    <w:rsid w:val="007973F8"/>
    <w:rsid w:val="007A1E02"/>
    <w:rsid w:val="007A3DA9"/>
    <w:rsid w:val="007B173C"/>
    <w:rsid w:val="007B3B26"/>
    <w:rsid w:val="007C0E58"/>
    <w:rsid w:val="007C136A"/>
    <w:rsid w:val="007D33FB"/>
    <w:rsid w:val="007D48F0"/>
    <w:rsid w:val="007E4368"/>
    <w:rsid w:val="007F0921"/>
    <w:rsid w:val="007F2063"/>
    <w:rsid w:val="007F3B20"/>
    <w:rsid w:val="007F4971"/>
    <w:rsid w:val="00816919"/>
    <w:rsid w:val="00817C04"/>
    <w:rsid w:val="00817F8E"/>
    <w:rsid w:val="00822132"/>
    <w:rsid w:val="0082218E"/>
    <w:rsid w:val="00825141"/>
    <w:rsid w:val="00825429"/>
    <w:rsid w:val="0083494A"/>
    <w:rsid w:val="008519EA"/>
    <w:rsid w:val="0085279E"/>
    <w:rsid w:val="00853826"/>
    <w:rsid w:val="00855110"/>
    <w:rsid w:val="00855AFA"/>
    <w:rsid w:val="00876D8F"/>
    <w:rsid w:val="008843F2"/>
    <w:rsid w:val="00890A1D"/>
    <w:rsid w:val="00890BF1"/>
    <w:rsid w:val="00895F94"/>
    <w:rsid w:val="008A0BBB"/>
    <w:rsid w:val="008A2967"/>
    <w:rsid w:val="008A3BAA"/>
    <w:rsid w:val="008B1FDC"/>
    <w:rsid w:val="008B427D"/>
    <w:rsid w:val="008C2E05"/>
    <w:rsid w:val="008C76B8"/>
    <w:rsid w:val="008D020B"/>
    <w:rsid w:val="008D4013"/>
    <w:rsid w:val="008D6395"/>
    <w:rsid w:val="008E74A9"/>
    <w:rsid w:val="008F0D0D"/>
    <w:rsid w:val="008F1F1F"/>
    <w:rsid w:val="00902338"/>
    <w:rsid w:val="00910B8A"/>
    <w:rsid w:val="00911215"/>
    <w:rsid w:val="00912032"/>
    <w:rsid w:val="00912D49"/>
    <w:rsid w:val="0091411F"/>
    <w:rsid w:val="00916503"/>
    <w:rsid w:val="00924F5C"/>
    <w:rsid w:val="00927142"/>
    <w:rsid w:val="00934D66"/>
    <w:rsid w:val="009350F4"/>
    <w:rsid w:val="00935F87"/>
    <w:rsid w:val="009425FD"/>
    <w:rsid w:val="0094329A"/>
    <w:rsid w:val="009434AF"/>
    <w:rsid w:val="009467F2"/>
    <w:rsid w:val="00946ACE"/>
    <w:rsid w:val="00950DBA"/>
    <w:rsid w:val="00952736"/>
    <w:rsid w:val="0095366A"/>
    <w:rsid w:val="00955C68"/>
    <w:rsid w:val="009747B3"/>
    <w:rsid w:val="00980772"/>
    <w:rsid w:val="00983A84"/>
    <w:rsid w:val="0098675D"/>
    <w:rsid w:val="00986944"/>
    <w:rsid w:val="00987735"/>
    <w:rsid w:val="009C05C3"/>
    <w:rsid w:val="009C194D"/>
    <w:rsid w:val="009C2D52"/>
    <w:rsid w:val="009C5DCD"/>
    <w:rsid w:val="009E54AC"/>
    <w:rsid w:val="009E79DB"/>
    <w:rsid w:val="009F120C"/>
    <w:rsid w:val="009F3822"/>
    <w:rsid w:val="00A2322A"/>
    <w:rsid w:val="00A23C68"/>
    <w:rsid w:val="00A349E5"/>
    <w:rsid w:val="00A35FB8"/>
    <w:rsid w:val="00A3625A"/>
    <w:rsid w:val="00A403EA"/>
    <w:rsid w:val="00A42502"/>
    <w:rsid w:val="00A43B83"/>
    <w:rsid w:val="00A5740E"/>
    <w:rsid w:val="00A72C3E"/>
    <w:rsid w:val="00A84061"/>
    <w:rsid w:val="00A85FB6"/>
    <w:rsid w:val="00AA2FD1"/>
    <w:rsid w:val="00AA350F"/>
    <w:rsid w:val="00AA3805"/>
    <w:rsid w:val="00AB36A8"/>
    <w:rsid w:val="00AB58F1"/>
    <w:rsid w:val="00AB7013"/>
    <w:rsid w:val="00AD199B"/>
    <w:rsid w:val="00AD40C2"/>
    <w:rsid w:val="00AE2695"/>
    <w:rsid w:val="00AE4C7C"/>
    <w:rsid w:val="00AE5696"/>
    <w:rsid w:val="00AF376E"/>
    <w:rsid w:val="00AF51D1"/>
    <w:rsid w:val="00B205B5"/>
    <w:rsid w:val="00B26F7C"/>
    <w:rsid w:val="00B3350C"/>
    <w:rsid w:val="00B545CA"/>
    <w:rsid w:val="00B57F37"/>
    <w:rsid w:val="00B60937"/>
    <w:rsid w:val="00B64B15"/>
    <w:rsid w:val="00B74FA6"/>
    <w:rsid w:val="00B81AF0"/>
    <w:rsid w:val="00B8373E"/>
    <w:rsid w:val="00BB0D39"/>
    <w:rsid w:val="00BC6E5C"/>
    <w:rsid w:val="00BD3400"/>
    <w:rsid w:val="00BD64CD"/>
    <w:rsid w:val="00C035F2"/>
    <w:rsid w:val="00C04CF8"/>
    <w:rsid w:val="00C10472"/>
    <w:rsid w:val="00C13DBB"/>
    <w:rsid w:val="00C22FA1"/>
    <w:rsid w:val="00C245E8"/>
    <w:rsid w:val="00C257FB"/>
    <w:rsid w:val="00C279E0"/>
    <w:rsid w:val="00C36C48"/>
    <w:rsid w:val="00C50527"/>
    <w:rsid w:val="00C50552"/>
    <w:rsid w:val="00C75B04"/>
    <w:rsid w:val="00C75DEA"/>
    <w:rsid w:val="00C82109"/>
    <w:rsid w:val="00C82378"/>
    <w:rsid w:val="00C92C00"/>
    <w:rsid w:val="00C97249"/>
    <w:rsid w:val="00CA6B14"/>
    <w:rsid w:val="00CA6FEB"/>
    <w:rsid w:val="00CB0D29"/>
    <w:rsid w:val="00CB0EA1"/>
    <w:rsid w:val="00CB12CA"/>
    <w:rsid w:val="00CB38C5"/>
    <w:rsid w:val="00CB7B6F"/>
    <w:rsid w:val="00CC5574"/>
    <w:rsid w:val="00CD1321"/>
    <w:rsid w:val="00CD6C57"/>
    <w:rsid w:val="00CE3E53"/>
    <w:rsid w:val="00D029F9"/>
    <w:rsid w:val="00D10773"/>
    <w:rsid w:val="00D1225C"/>
    <w:rsid w:val="00D20FCF"/>
    <w:rsid w:val="00D22BC2"/>
    <w:rsid w:val="00D2491A"/>
    <w:rsid w:val="00D461ED"/>
    <w:rsid w:val="00D52C98"/>
    <w:rsid w:val="00D6016E"/>
    <w:rsid w:val="00D613EA"/>
    <w:rsid w:val="00D63D74"/>
    <w:rsid w:val="00D65374"/>
    <w:rsid w:val="00D66747"/>
    <w:rsid w:val="00D725C9"/>
    <w:rsid w:val="00D807B9"/>
    <w:rsid w:val="00D82578"/>
    <w:rsid w:val="00DA43AC"/>
    <w:rsid w:val="00DB3126"/>
    <w:rsid w:val="00DB6E48"/>
    <w:rsid w:val="00DC18A4"/>
    <w:rsid w:val="00DC21D8"/>
    <w:rsid w:val="00DC3E55"/>
    <w:rsid w:val="00DC5A28"/>
    <w:rsid w:val="00DD1564"/>
    <w:rsid w:val="00DD2ABE"/>
    <w:rsid w:val="00DF19E9"/>
    <w:rsid w:val="00DF401F"/>
    <w:rsid w:val="00E146E3"/>
    <w:rsid w:val="00E1760E"/>
    <w:rsid w:val="00E200C2"/>
    <w:rsid w:val="00E20A90"/>
    <w:rsid w:val="00E2465D"/>
    <w:rsid w:val="00E24C31"/>
    <w:rsid w:val="00E270EB"/>
    <w:rsid w:val="00E35256"/>
    <w:rsid w:val="00E4403A"/>
    <w:rsid w:val="00E44EF0"/>
    <w:rsid w:val="00E52468"/>
    <w:rsid w:val="00E624A8"/>
    <w:rsid w:val="00E64533"/>
    <w:rsid w:val="00E862F7"/>
    <w:rsid w:val="00EA3260"/>
    <w:rsid w:val="00EA4CAF"/>
    <w:rsid w:val="00EA5C5C"/>
    <w:rsid w:val="00ED1AE9"/>
    <w:rsid w:val="00ED4632"/>
    <w:rsid w:val="00ED7A68"/>
    <w:rsid w:val="00EE6727"/>
    <w:rsid w:val="00EE783B"/>
    <w:rsid w:val="00EF2CC0"/>
    <w:rsid w:val="00EF319D"/>
    <w:rsid w:val="00EF5778"/>
    <w:rsid w:val="00EF5926"/>
    <w:rsid w:val="00EF59E2"/>
    <w:rsid w:val="00F008F1"/>
    <w:rsid w:val="00F06C5D"/>
    <w:rsid w:val="00F14406"/>
    <w:rsid w:val="00F208BC"/>
    <w:rsid w:val="00F2718C"/>
    <w:rsid w:val="00F513C4"/>
    <w:rsid w:val="00F60715"/>
    <w:rsid w:val="00F61D5B"/>
    <w:rsid w:val="00F86F7F"/>
    <w:rsid w:val="00F87C37"/>
    <w:rsid w:val="00F9236B"/>
    <w:rsid w:val="00F9443A"/>
    <w:rsid w:val="00F95670"/>
    <w:rsid w:val="00F95BD9"/>
    <w:rsid w:val="00FB379D"/>
    <w:rsid w:val="00FB598E"/>
    <w:rsid w:val="00FB64DD"/>
    <w:rsid w:val="00FB6CA4"/>
    <w:rsid w:val="00FD1532"/>
    <w:rsid w:val="00FD2CE8"/>
    <w:rsid w:val="00FE1D60"/>
    <w:rsid w:val="00FE4CC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F0D"/>
    <w:p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8C76B8"/>
    <w:pPr>
      <w:keepNext/>
      <w:numPr>
        <w:numId w:val="4"/>
      </w:numPr>
      <w:spacing w:before="240"/>
      <w:outlineLvl w:val="0"/>
    </w:pPr>
    <w:rPr>
      <w:b/>
      <w:bCs/>
      <w:caps/>
      <w:sz w:val="24"/>
      <w:szCs w:val="24"/>
    </w:rPr>
  </w:style>
  <w:style w:type="paragraph" w:styleId="Titre2">
    <w:name w:val="heading 2"/>
    <w:basedOn w:val="Normal"/>
    <w:next w:val="Normal"/>
    <w:qFormat/>
    <w:rsid w:val="008C76B8"/>
    <w:pPr>
      <w:keepNext/>
      <w:numPr>
        <w:ilvl w:val="1"/>
        <w:numId w:val="4"/>
      </w:num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2410" w:hanging="2410"/>
      <w:jc w:val="left"/>
      <w:outlineLvl w:val="3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2A5D90"/>
    <w:pPr>
      <w:spacing w:before="240" w:after="60"/>
      <w:outlineLvl w:val="5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</w:style>
  <w:style w:type="paragraph" w:styleId="Pieddepage">
    <w:name w:val="footer"/>
    <w:basedOn w:val="Normal"/>
    <w:rsid w:val="00E64533"/>
    <w:pPr>
      <w:tabs>
        <w:tab w:val="center" w:pos="4536"/>
        <w:tab w:val="right" w:pos="9072"/>
      </w:tabs>
      <w:spacing w:before="0" w:after="0"/>
    </w:pPr>
  </w:style>
  <w:style w:type="character" w:styleId="Numrodepage">
    <w:name w:val="page number"/>
    <w:rsid w:val="00AE2695"/>
    <w:rPr>
      <w:rFonts w:ascii="Arial" w:hAnsi="Arial"/>
    </w:rPr>
  </w:style>
  <w:style w:type="paragraph" w:customStyle="1" w:styleId="liste">
    <w:name w:val="liste"/>
    <w:basedOn w:val="Normal"/>
    <w:pPr>
      <w:numPr>
        <w:numId w:val="1"/>
      </w:numPr>
      <w:ind w:left="357" w:hanging="357"/>
    </w:pPr>
  </w:style>
  <w:style w:type="paragraph" w:customStyle="1" w:styleId="textedenote">
    <w:name w:val="texte de note"/>
    <w:basedOn w:val="Normal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tyleTitre6Italique">
    <w:name w:val="Style Titre 6 + Italique"/>
    <w:basedOn w:val="Titre6"/>
    <w:rsid w:val="002A5D90"/>
    <w:rPr>
      <w:i/>
      <w:iCs/>
    </w:rPr>
  </w:style>
  <w:style w:type="paragraph" w:customStyle="1" w:styleId="StyleTitre6Avant6ptAprs6pt">
    <w:name w:val="Style Titre 6 + Avant : 6 pt Après : 6 pt"/>
    <w:basedOn w:val="Titre6"/>
    <w:rsid w:val="002A5D90"/>
    <w:pPr>
      <w:spacing w:before="120" w:after="120"/>
    </w:pPr>
    <w:rPr>
      <w:szCs w:val="20"/>
    </w:rPr>
  </w:style>
  <w:style w:type="paragraph" w:styleId="NormalWeb">
    <w:name w:val="Normal (Web)"/>
    <w:basedOn w:val="Normal"/>
    <w:rsid w:val="00E20A90"/>
    <w:pPr>
      <w:spacing w:before="100" w:beforeAutospacing="1" w:after="100" w:afterAutospacing="1"/>
      <w:jc w:val="left"/>
    </w:pPr>
    <w:rPr>
      <w:rFonts w:eastAsia="MS Mincho" w:cs="Times New Roman"/>
      <w:szCs w:val="24"/>
      <w:lang w:eastAsia="ja-JP"/>
    </w:rPr>
  </w:style>
  <w:style w:type="character" w:styleId="Lienhypertexte">
    <w:name w:val="Hyperlink"/>
    <w:rsid w:val="00E20A90"/>
    <w:rPr>
      <w:rFonts w:ascii="Arial" w:hAnsi="Arial"/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E20A90"/>
    <w:pPr>
      <w:tabs>
        <w:tab w:val="left" w:pos="440"/>
        <w:tab w:val="right" w:leader="dot" w:pos="9628"/>
      </w:tabs>
    </w:pPr>
    <w:rPr>
      <w:noProof/>
    </w:rPr>
  </w:style>
  <w:style w:type="paragraph" w:styleId="Textedebulles">
    <w:name w:val="Balloon Text"/>
    <w:basedOn w:val="Normal"/>
    <w:link w:val="TextedebullesCar"/>
    <w:rsid w:val="000B3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3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2796"/>
    <w:pPr>
      <w:ind w:left="720"/>
      <w:contextualSpacing/>
    </w:pPr>
  </w:style>
  <w:style w:type="table" w:styleId="Grilledutableau">
    <w:name w:val="Table Grid"/>
    <w:basedOn w:val="TableauNormal"/>
    <w:rsid w:val="008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F0D"/>
    <w:p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8C76B8"/>
    <w:pPr>
      <w:keepNext/>
      <w:numPr>
        <w:numId w:val="4"/>
      </w:numPr>
      <w:spacing w:before="240"/>
      <w:outlineLvl w:val="0"/>
    </w:pPr>
    <w:rPr>
      <w:b/>
      <w:bCs/>
      <w:caps/>
      <w:sz w:val="24"/>
      <w:szCs w:val="24"/>
    </w:rPr>
  </w:style>
  <w:style w:type="paragraph" w:styleId="Titre2">
    <w:name w:val="heading 2"/>
    <w:basedOn w:val="Normal"/>
    <w:next w:val="Normal"/>
    <w:qFormat/>
    <w:rsid w:val="008C76B8"/>
    <w:pPr>
      <w:keepNext/>
      <w:numPr>
        <w:ilvl w:val="1"/>
        <w:numId w:val="4"/>
      </w:num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2410" w:hanging="2410"/>
      <w:jc w:val="left"/>
      <w:outlineLvl w:val="3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2A5D90"/>
    <w:pPr>
      <w:spacing w:before="240" w:after="60"/>
      <w:outlineLvl w:val="5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</w:style>
  <w:style w:type="paragraph" w:styleId="Pieddepage">
    <w:name w:val="footer"/>
    <w:basedOn w:val="Normal"/>
    <w:rsid w:val="00E64533"/>
    <w:pPr>
      <w:tabs>
        <w:tab w:val="center" w:pos="4536"/>
        <w:tab w:val="right" w:pos="9072"/>
      </w:tabs>
      <w:spacing w:before="0" w:after="0"/>
    </w:pPr>
  </w:style>
  <w:style w:type="character" w:styleId="Numrodepage">
    <w:name w:val="page number"/>
    <w:rsid w:val="00AE2695"/>
    <w:rPr>
      <w:rFonts w:ascii="Arial" w:hAnsi="Arial"/>
    </w:rPr>
  </w:style>
  <w:style w:type="paragraph" w:customStyle="1" w:styleId="liste">
    <w:name w:val="liste"/>
    <w:basedOn w:val="Normal"/>
    <w:pPr>
      <w:numPr>
        <w:numId w:val="1"/>
      </w:numPr>
      <w:ind w:left="357" w:hanging="357"/>
    </w:pPr>
  </w:style>
  <w:style w:type="paragraph" w:customStyle="1" w:styleId="textedenote">
    <w:name w:val="texte de note"/>
    <w:basedOn w:val="Normal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tyleTitre6Italique">
    <w:name w:val="Style Titre 6 + Italique"/>
    <w:basedOn w:val="Titre6"/>
    <w:rsid w:val="002A5D90"/>
    <w:rPr>
      <w:i/>
      <w:iCs/>
    </w:rPr>
  </w:style>
  <w:style w:type="paragraph" w:customStyle="1" w:styleId="StyleTitre6Avant6ptAprs6pt">
    <w:name w:val="Style Titre 6 + Avant : 6 pt Après : 6 pt"/>
    <w:basedOn w:val="Titre6"/>
    <w:rsid w:val="002A5D90"/>
    <w:pPr>
      <w:spacing w:before="120" w:after="120"/>
    </w:pPr>
    <w:rPr>
      <w:szCs w:val="20"/>
    </w:rPr>
  </w:style>
  <w:style w:type="paragraph" w:styleId="NormalWeb">
    <w:name w:val="Normal (Web)"/>
    <w:basedOn w:val="Normal"/>
    <w:rsid w:val="00E20A90"/>
    <w:pPr>
      <w:spacing w:before="100" w:beforeAutospacing="1" w:after="100" w:afterAutospacing="1"/>
      <w:jc w:val="left"/>
    </w:pPr>
    <w:rPr>
      <w:rFonts w:eastAsia="MS Mincho" w:cs="Times New Roman"/>
      <w:szCs w:val="24"/>
      <w:lang w:eastAsia="ja-JP"/>
    </w:rPr>
  </w:style>
  <w:style w:type="character" w:styleId="Lienhypertexte">
    <w:name w:val="Hyperlink"/>
    <w:rsid w:val="00E20A90"/>
    <w:rPr>
      <w:rFonts w:ascii="Arial" w:hAnsi="Arial"/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E20A90"/>
    <w:pPr>
      <w:tabs>
        <w:tab w:val="left" w:pos="440"/>
        <w:tab w:val="right" w:leader="dot" w:pos="9628"/>
      </w:tabs>
    </w:pPr>
    <w:rPr>
      <w:noProof/>
    </w:rPr>
  </w:style>
  <w:style w:type="paragraph" w:styleId="Textedebulles">
    <w:name w:val="Balloon Text"/>
    <w:basedOn w:val="Normal"/>
    <w:link w:val="TextedebullesCar"/>
    <w:rsid w:val="000B3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3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2796"/>
    <w:pPr>
      <w:ind w:left="720"/>
      <w:contextualSpacing/>
    </w:pPr>
  </w:style>
  <w:style w:type="table" w:styleId="Grilledutableau">
    <w:name w:val="Table Grid"/>
    <w:basedOn w:val="TableauNormal"/>
    <w:rsid w:val="008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53E.7D3C74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2573-5BCF-4CAC-8E6D-E8B3FEB8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note</vt:lpstr>
    </vt:vector>
  </TitlesOfParts>
  <Company>ICDC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note</dc:title>
  <dc:creator>Guilbert, Genevieve</dc:creator>
  <cp:lastModifiedBy>bruno picard</cp:lastModifiedBy>
  <cp:revision>2</cp:revision>
  <cp:lastPrinted>2016-12-07T16:48:00Z</cp:lastPrinted>
  <dcterms:created xsi:type="dcterms:W3CDTF">2016-12-09T09:23:00Z</dcterms:created>
  <dcterms:modified xsi:type="dcterms:W3CDTF">2016-12-09T09:23:00Z</dcterms:modified>
</cp:coreProperties>
</file>